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200025</wp:posOffset>
            </wp:positionH>
            <wp:positionV relativeFrom="page">
              <wp:posOffset>509270</wp:posOffset>
            </wp:positionV>
            <wp:extent cx="71494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524510</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t>UNITED STATES</w:t>
      </w:r>
    </w:p>
    <w:p>
      <w:pPr>
        <w:spacing w:after="0" w:line="37" w:lineRule="exact"/>
        <w:rPr>
          <w:sz w:val="24"/>
          <w:szCs w:val="24"/>
          <w:color w:val="auto"/>
        </w:rPr>
      </w:pPr>
    </w:p>
    <w:p>
      <w:pPr>
        <w:jc w:val="center"/>
        <w:ind w:right="-4"/>
        <w:spacing w:after="0"/>
        <w:rPr>
          <w:sz w:val="20"/>
          <w:szCs w:val="20"/>
          <w:color w:val="auto"/>
        </w:rPr>
      </w:pPr>
      <w:r>
        <w:rPr>
          <w:rFonts w:ascii="Arial" w:cs="Arial" w:eastAsia="Arial" w:hAnsi="Arial"/>
          <w:sz w:val="28"/>
          <w:szCs w:val="28"/>
          <w:b w:val="1"/>
          <w:bCs w:val="1"/>
          <w:color w:val="auto"/>
        </w:rPr>
        <w:t>SECURITIES AND EXCHANGE COMMISSION</w:t>
      </w:r>
    </w:p>
    <w:p>
      <w:pPr>
        <w:jc w:val="center"/>
        <w:ind w:right="-4"/>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112395</wp:posOffset>
            </wp:positionV>
            <wp:extent cx="14268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98" w:lineRule="exact"/>
        <w:rPr>
          <w:sz w:val="24"/>
          <w:szCs w:val="24"/>
          <w:color w:val="auto"/>
        </w:rPr>
      </w:pPr>
    </w:p>
    <w:p>
      <w:pPr>
        <w:jc w:val="center"/>
        <w:ind w:right="-4"/>
        <w:spacing w:after="0"/>
        <w:rPr>
          <w:sz w:val="20"/>
          <w:szCs w:val="20"/>
          <w:color w:val="auto"/>
        </w:rPr>
      </w:pPr>
      <w:r>
        <w:rPr>
          <w:rFonts w:ascii="Arial" w:cs="Arial" w:eastAsia="Arial" w:hAnsi="Arial"/>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133985</wp:posOffset>
            </wp:positionV>
            <wp:extent cx="14268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321" w:lineRule="exact"/>
        <w:rPr>
          <w:sz w:val="24"/>
          <w:szCs w:val="24"/>
          <w:color w:val="auto"/>
        </w:rPr>
      </w:pPr>
    </w:p>
    <w:p>
      <w:pPr>
        <w:jc w:val="center"/>
        <w:ind w:right="-4"/>
        <w:spacing w:after="0"/>
        <w:rPr>
          <w:sz w:val="20"/>
          <w:szCs w:val="20"/>
          <w:color w:val="auto"/>
        </w:rPr>
      </w:pPr>
      <w:r>
        <w:rPr>
          <w:rFonts w:ascii="Arial" w:cs="Arial" w:eastAsia="Arial" w:hAnsi="Arial"/>
          <w:sz w:val="19"/>
          <w:szCs w:val="19"/>
          <w:b w:val="1"/>
          <w:bCs w:val="1"/>
          <w:color w:val="auto"/>
        </w:rPr>
        <w:t>CURRENT REPORT</w:t>
      </w:r>
    </w:p>
    <w:p>
      <w:pPr>
        <w:spacing w:after="0" w:line="136" w:lineRule="exact"/>
        <w:rPr>
          <w:sz w:val="24"/>
          <w:szCs w:val="24"/>
          <w:color w:val="auto"/>
        </w:rPr>
      </w:pPr>
    </w:p>
    <w:p>
      <w:pPr>
        <w:jc w:val="center"/>
        <w:ind w:right="-4"/>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96" w:lineRule="exact"/>
        <w:rPr>
          <w:sz w:val="24"/>
          <w:szCs w:val="24"/>
          <w:color w:val="auto"/>
        </w:rPr>
      </w:pPr>
    </w:p>
    <w:p>
      <w:pPr>
        <w:jc w:val="center"/>
        <w:ind w:right="55"/>
        <w:spacing w:after="0"/>
        <w:rPr>
          <w:sz w:val="20"/>
          <w:szCs w:val="20"/>
          <w:color w:val="auto"/>
        </w:rPr>
      </w:pPr>
      <w:r>
        <w:rPr>
          <w:rFonts w:ascii="Arial" w:cs="Arial" w:eastAsia="Arial" w:hAnsi="Arial"/>
          <w:sz w:val="16"/>
          <w:szCs w:val="16"/>
          <w:b w:val="1"/>
          <w:bCs w:val="1"/>
          <w:color w:val="auto"/>
        </w:rPr>
        <w:t>Date of Report (Date of earliest event reported): May 05,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171450</wp:posOffset>
            </wp:positionV>
            <wp:extent cx="142684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jc w:val="center"/>
        <w:ind w:right="-4"/>
        <w:spacing w:after="0"/>
        <w:rPr>
          <w:sz w:val="20"/>
          <w:szCs w:val="20"/>
          <w:color w:val="auto"/>
        </w:rPr>
      </w:pPr>
      <w:r>
        <w:rPr>
          <w:rFonts w:ascii="Arial" w:cs="Arial" w:eastAsia="Arial" w:hAnsi="Arial"/>
          <w:sz w:val="38"/>
          <w:szCs w:val="38"/>
          <w:b w:val="1"/>
          <w:bCs w:val="1"/>
          <w:color w:val="auto"/>
        </w:rPr>
        <w:t>UNIFI, INC.</w:t>
      </w:r>
    </w:p>
    <w:p>
      <w:pPr>
        <w:spacing w:after="0" w:line="84" w:lineRule="exact"/>
        <w:rPr>
          <w:sz w:val="24"/>
          <w:szCs w:val="24"/>
          <w:color w:val="auto"/>
        </w:rPr>
      </w:pPr>
    </w:p>
    <w:p>
      <w:pPr>
        <w:jc w:val="center"/>
        <w:ind w:right="-4"/>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198755</wp:posOffset>
            </wp:positionV>
            <wp:extent cx="142684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tbl>
      <w:tblPr>
        <w:tblLayout w:type="fixed"/>
        <w:tblInd w:w="1205" w:type="dxa"/>
        <w:tblCellMar>
          <w:top w:w="0" w:type="dxa"/>
          <w:left w:w="0" w:type="dxa"/>
          <w:bottom w:w="0" w:type="dxa"/>
          <w:right w:w="0" w:type="dxa"/>
        </w:tblCellMar>
      </w:tblPr>
      <w:tr>
        <w:trPr>
          <w:trHeight w:val="184"/>
        </w:trPr>
        <w:tc>
          <w:tcPr>
            <w:tcW w:w="2940" w:type="dxa"/>
            <w:vAlign w:val="bottom"/>
          </w:tcPr>
          <w:p>
            <w:pPr>
              <w:jc w:val="center"/>
              <w:ind w:right="671"/>
              <w:spacing w:after="0"/>
              <w:rPr>
                <w:sz w:val="20"/>
                <w:szCs w:val="20"/>
                <w:color w:val="auto"/>
              </w:rPr>
            </w:pPr>
            <w:r>
              <w:rPr>
                <w:rFonts w:ascii="Arial" w:cs="Arial" w:eastAsia="Arial" w:hAnsi="Arial"/>
                <w:sz w:val="16"/>
                <w:szCs w:val="16"/>
                <w:b w:val="1"/>
                <w:bCs w:val="1"/>
                <w:color w:val="auto"/>
                <w:w w:val="98"/>
              </w:rPr>
              <w:t>New York</w:t>
            </w:r>
          </w:p>
        </w:tc>
        <w:tc>
          <w:tcPr>
            <w:tcW w:w="3280" w:type="dxa"/>
            <w:vAlign w:val="bottom"/>
          </w:tcPr>
          <w:p>
            <w:pPr>
              <w:jc w:val="right"/>
              <w:ind w:right="1431"/>
              <w:spacing w:after="0"/>
              <w:rPr>
                <w:sz w:val="20"/>
                <w:szCs w:val="20"/>
                <w:color w:val="auto"/>
              </w:rPr>
            </w:pPr>
            <w:r>
              <w:rPr>
                <w:rFonts w:ascii="Arial" w:cs="Arial" w:eastAsia="Arial" w:hAnsi="Arial"/>
                <w:sz w:val="16"/>
                <w:szCs w:val="16"/>
                <w:b w:val="1"/>
                <w:bCs w:val="1"/>
                <w:color w:val="auto"/>
              </w:rPr>
              <w:t>1-10542</w:t>
            </w:r>
          </w:p>
        </w:tc>
        <w:tc>
          <w:tcPr>
            <w:tcW w:w="2020" w:type="dxa"/>
            <w:vAlign w:val="bottom"/>
          </w:tcPr>
          <w:p>
            <w:pPr>
              <w:jc w:val="right"/>
              <w:ind w:right="13"/>
              <w:spacing w:after="0"/>
              <w:rPr>
                <w:sz w:val="20"/>
                <w:szCs w:val="20"/>
                <w:color w:val="auto"/>
              </w:rPr>
            </w:pPr>
            <w:r>
              <w:rPr>
                <w:rFonts w:ascii="Arial" w:cs="Arial" w:eastAsia="Arial" w:hAnsi="Arial"/>
                <w:sz w:val="16"/>
                <w:szCs w:val="16"/>
                <w:b w:val="1"/>
                <w:bCs w:val="1"/>
                <w:color w:val="auto"/>
              </w:rPr>
              <w:t>11-2165495</w:t>
            </w:r>
          </w:p>
        </w:tc>
      </w:tr>
      <w:tr>
        <w:trPr>
          <w:trHeight w:val="130"/>
        </w:trPr>
        <w:tc>
          <w:tcPr>
            <w:tcW w:w="2940" w:type="dxa"/>
            <w:vAlign w:val="bottom"/>
          </w:tcPr>
          <w:p>
            <w:pPr>
              <w:jc w:val="center"/>
              <w:ind w:right="671"/>
              <w:spacing w:after="0" w:line="130" w:lineRule="exact"/>
              <w:rPr>
                <w:sz w:val="20"/>
                <w:szCs w:val="20"/>
                <w:color w:val="auto"/>
              </w:rPr>
            </w:pPr>
            <w:r>
              <w:rPr>
                <w:rFonts w:ascii="Arial" w:cs="Arial" w:eastAsia="Arial" w:hAnsi="Arial"/>
                <w:sz w:val="12"/>
                <w:szCs w:val="12"/>
                <w:b w:val="1"/>
                <w:bCs w:val="1"/>
                <w:color w:val="auto"/>
                <w:w w:val="98"/>
              </w:rPr>
              <w:t>(State or other jurisdiction</w:t>
            </w:r>
          </w:p>
        </w:tc>
        <w:tc>
          <w:tcPr>
            <w:tcW w:w="3280" w:type="dxa"/>
            <w:vAlign w:val="bottom"/>
          </w:tcPr>
          <w:p>
            <w:pPr>
              <w:jc w:val="center"/>
              <w:ind w:right="231"/>
              <w:spacing w:after="0" w:line="130" w:lineRule="exact"/>
              <w:rPr>
                <w:sz w:val="20"/>
                <w:szCs w:val="20"/>
                <w:color w:val="auto"/>
              </w:rPr>
            </w:pPr>
            <w:r>
              <w:rPr>
                <w:rFonts w:ascii="Arial" w:cs="Arial" w:eastAsia="Arial" w:hAnsi="Arial"/>
                <w:sz w:val="12"/>
                <w:szCs w:val="12"/>
                <w:b w:val="1"/>
                <w:bCs w:val="1"/>
                <w:color w:val="auto"/>
                <w:w w:val="98"/>
              </w:rPr>
              <w:t>(Commission File Number)</w:t>
            </w:r>
          </w:p>
        </w:tc>
        <w:tc>
          <w:tcPr>
            <w:tcW w:w="2020" w:type="dxa"/>
            <w:vAlign w:val="bottom"/>
          </w:tcPr>
          <w:p>
            <w:pPr>
              <w:jc w:val="center"/>
              <w:ind w:left="973"/>
              <w:spacing w:after="0" w:line="130" w:lineRule="exact"/>
              <w:rPr>
                <w:sz w:val="20"/>
                <w:szCs w:val="20"/>
                <w:color w:val="auto"/>
              </w:rPr>
            </w:pPr>
            <w:r>
              <w:rPr>
                <w:rFonts w:ascii="Arial" w:cs="Arial" w:eastAsia="Arial" w:hAnsi="Arial"/>
                <w:sz w:val="12"/>
                <w:szCs w:val="12"/>
                <w:b w:val="1"/>
                <w:bCs w:val="1"/>
                <w:color w:val="auto"/>
                <w:w w:val="99"/>
              </w:rPr>
              <w:t>(IRS Employer</w:t>
            </w:r>
          </w:p>
        </w:tc>
      </w:tr>
      <w:tr>
        <w:trPr>
          <w:trHeight w:val="163"/>
        </w:trPr>
        <w:tc>
          <w:tcPr>
            <w:tcW w:w="2940" w:type="dxa"/>
            <w:vAlign w:val="bottom"/>
          </w:tcPr>
          <w:p>
            <w:pPr>
              <w:jc w:val="center"/>
              <w:ind w:right="651"/>
              <w:spacing w:after="0"/>
              <w:rPr>
                <w:sz w:val="20"/>
                <w:szCs w:val="20"/>
                <w:color w:val="auto"/>
              </w:rPr>
            </w:pPr>
            <w:r>
              <w:rPr>
                <w:rFonts w:ascii="Arial" w:cs="Arial" w:eastAsia="Arial" w:hAnsi="Arial"/>
                <w:sz w:val="12"/>
                <w:szCs w:val="12"/>
                <w:b w:val="1"/>
                <w:bCs w:val="1"/>
                <w:color w:val="auto"/>
                <w:w w:val="97"/>
              </w:rPr>
              <w:t>of incorporation)</w:t>
            </w:r>
          </w:p>
        </w:tc>
        <w:tc>
          <w:tcPr>
            <w:tcW w:w="3280" w:type="dxa"/>
            <w:vAlign w:val="bottom"/>
          </w:tcPr>
          <w:p>
            <w:pPr>
              <w:spacing w:after="0"/>
              <w:rPr>
                <w:sz w:val="14"/>
                <w:szCs w:val="14"/>
                <w:color w:val="auto"/>
              </w:rPr>
            </w:pPr>
          </w:p>
        </w:tc>
        <w:tc>
          <w:tcPr>
            <w:tcW w:w="2020" w:type="dxa"/>
            <w:vAlign w:val="bottom"/>
          </w:tcPr>
          <w:p>
            <w:pPr>
              <w:jc w:val="center"/>
              <w:ind w:left="953"/>
              <w:spacing w:after="0"/>
              <w:rPr>
                <w:sz w:val="20"/>
                <w:szCs w:val="20"/>
                <w:color w:val="auto"/>
              </w:rPr>
            </w:pPr>
            <w:r>
              <w:rPr>
                <w:rFonts w:ascii="Arial" w:cs="Arial" w:eastAsia="Arial" w:hAnsi="Arial"/>
                <w:sz w:val="12"/>
                <w:szCs w:val="12"/>
                <w:b w:val="1"/>
                <w:bCs w:val="1"/>
                <w:color w:val="auto"/>
                <w:w w:val="98"/>
              </w:rPr>
              <w:t>Identification No.)</w:t>
            </w:r>
          </w:p>
        </w:tc>
      </w:tr>
      <w:tr>
        <w:trPr>
          <w:trHeight w:val="318"/>
        </w:trPr>
        <w:tc>
          <w:tcPr>
            <w:tcW w:w="2940" w:type="dxa"/>
            <w:vAlign w:val="bottom"/>
          </w:tcPr>
          <w:p>
            <w:pPr>
              <w:jc w:val="center"/>
              <w:ind w:right="671"/>
              <w:spacing w:after="0"/>
              <w:rPr>
                <w:sz w:val="20"/>
                <w:szCs w:val="20"/>
                <w:color w:val="auto"/>
              </w:rPr>
            </w:pPr>
            <w:r>
              <w:rPr>
                <w:rFonts w:ascii="Arial" w:cs="Arial" w:eastAsia="Arial" w:hAnsi="Arial"/>
                <w:sz w:val="16"/>
                <w:szCs w:val="16"/>
                <w:b w:val="1"/>
                <w:bCs w:val="1"/>
                <w:color w:val="auto"/>
                <w:w w:val="98"/>
              </w:rPr>
              <w:t>7201 West Friendly Avenue</w:t>
            </w:r>
          </w:p>
        </w:tc>
        <w:tc>
          <w:tcPr>
            <w:tcW w:w="328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82"/>
        </w:trPr>
        <w:tc>
          <w:tcPr>
            <w:tcW w:w="2940" w:type="dxa"/>
            <w:vAlign w:val="bottom"/>
          </w:tcPr>
          <w:p>
            <w:pPr>
              <w:jc w:val="center"/>
              <w:ind w:right="671"/>
              <w:spacing w:after="0" w:line="181" w:lineRule="exact"/>
              <w:rPr>
                <w:sz w:val="20"/>
                <w:szCs w:val="20"/>
                <w:color w:val="auto"/>
              </w:rPr>
            </w:pPr>
            <w:r>
              <w:rPr>
                <w:rFonts w:ascii="Arial" w:cs="Arial" w:eastAsia="Arial" w:hAnsi="Arial"/>
                <w:sz w:val="16"/>
                <w:szCs w:val="16"/>
                <w:b w:val="1"/>
                <w:bCs w:val="1"/>
                <w:color w:val="auto"/>
                <w:w w:val="98"/>
              </w:rPr>
              <w:t>Greensboro, North Carolina</w:t>
            </w:r>
          </w:p>
        </w:tc>
        <w:tc>
          <w:tcPr>
            <w:tcW w:w="3280" w:type="dxa"/>
            <w:vAlign w:val="bottom"/>
          </w:tcPr>
          <w:p>
            <w:pPr>
              <w:spacing w:after="0"/>
              <w:rPr>
                <w:sz w:val="15"/>
                <w:szCs w:val="15"/>
                <w:color w:val="auto"/>
              </w:rPr>
            </w:pPr>
          </w:p>
        </w:tc>
        <w:tc>
          <w:tcPr>
            <w:tcW w:w="2020" w:type="dxa"/>
            <w:vAlign w:val="bottom"/>
          </w:tcPr>
          <w:p>
            <w:pPr>
              <w:jc w:val="right"/>
              <w:ind w:right="213"/>
              <w:spacing w:after="0" w:line="181" w:lineRule="exact"/>
              <w:rPr>
                <w:sz w:val="20"/>
                <w:szCs w:val="20"/>
                <w:color w:val="auto"/>
              </w:rPr>
            </w:pPr>
            <w:r>
              <w:rPr>
                <w:rFonts w:ascii="Arial" w:cs="Arial" w:eastAsia="Arial" w:hAnsi="Arial"/>
                <w:sz w:val="16"/>
                <w:szCs w:val="16"/>
                <w:b w:val="1"/>
                <w:bCs w:val="1"/>
                <w:color w:val="auto"/>
              </w:rPr>
              <w:t>27410</w:t>
            </w:r>
          </w:p>
        </w:tc>
      </w:tr>
      <w:tr>
        <w:trPr>
          <w:trHeight w:val="163"/>
        </w:trPr>
        <w:tc>
          <w:tcPr>
            <w:tcW w:w="2940" w:type="dxa"/>
            <w:vAlign w:val="bottom"/>
          </w:tcPr>
          <w:p>
            <w:pPr>
              <w:jc w:val="center"/>
              <w:ind w:right="651"/>
              <w:spacing w:after="0"/>
              <w:rPr>
                <w:sz w:val="20"/>
                <w:szCs w:val="20"/>
                <w:color w:val="auto"/>
              </w:rPr>
            </w:pPr>
            <w:r>
              <w:rPr>
                <w:rFonts w:ascii="Arial" w:cs="Arial" w:eastAsia="Arial" w:hAnsi="Arial"/>
                <w:sz w:val="12"/>
                <w:szCs w:val="12"/>
                <w:b w:val="1"/>
                <w:bCs w:val="1"/>
                <w:color w:val="auto"/>
                <w:w w:val="99"/>
              </w:rPr>
              <w:t>(Address of principal executive offices)</w:t>
            </w:r>
          </w:p>
        </w:tc>
        <w:tc>
          <w:tcPr>
            <w:tcW w:w="3280" w:type="dxa"/>
            <w:vAlign w:val="bottom"/>
          </w:tcPr>
          <w:p>
            <w:pPr>
              <w:spacing w:after="0"/>
              <w:rPr>
                <w:sz w:val="14"/>
                <w:szCs w:val="14"/>
                <w:color w:val="auto"/>
              </w:rPr>
            </w:pPr>
          </w:p>
        </w:tc>
        <w:tc>
          <w:tcPr>
            <w:tcW w:w="2020" w:type="dxa"/>
            <w:vAlign w:val="bottom"/>
          </w:tcPr>
          <w:p>
            <w:pPr>
              <w:jc w:val="center"/>
              <w:ind w:left="973"/>
              <w:spacing w:after="0"/>
              <w:rPr>
                <w:sz w:val="20"/>
                <w:szCs w:val="20"/>
                <w:color w:val="auto"/>
              </w:rPr>
            </w:pPr>
            <w:r>
              <w:rPr>
                <w:rFonts w:ascii="Arial" w:cs="Arial" w:eastAsia="Arial" w:hAnsi="Arial"/>
                <w:sz w:val="12"/>
                <w:szCs w:val="12"/>
                <w:b w:val="1"/>
                <w:bCs w:val="1"/>
                <w:color w:val="auto"/>
                <w:w w:val="97"/>
              </w:rPr>
              <w:t>(Zip Code)</w:t>
            </w:r>
          </w:p>
        </w:tc>
      </w:tr>
    </w:tbl>
    <w:p>
      <w:pPr>
        <w:spacing w:after="0" w:line="341" w:lineRule="exact"/>
        <w:rPr>
          <w:sz w:val="24"/>
          <w:szCs w:val="24"/>
          <w:color w:val="auto"/>
        </w:rPr>
      </w:pPr>
    </w:p>
    <w:p>
      <w:pPr>
        <w:jc w:val="center"/>
        <w:ind w:right="55"/>
        <w:spacing w:after="0"/>
        <w:rPr>
          <w:sz w:val="20"/>
          <w:szCs w:val="20"/>
          <w:color w:val="auto"/>
        </w:rPr>
      </w:pPr>
      <w:r>
        <w:rPr>
          <w:rFonts w:ascii="Arial" w:cs="Arial" w:eastAsia="Arial" w:hAnsi="Arial"/>
          <w:sz w:val="16"/>
          <w:szCs w:val="16"/>
          <w:b w:val="1"/>
          <w:bCs w:val="1"/>
          <w:color w:val="auto"/>
        </w:rPr>
        <w:t>Registrant’s telephone number, including area code: (336) 294-4410</w:t>
      </w:r>
    </w:p>
    <w:p>
      <w:pPr>
        <w:spacing w:after="0" w:line="325" w:lineRule="exact"/>
        <w:rPr>
          <w:sz w:val="24"/>
          <w:szCs w:val="24"/>
          <w:color w:val="auto"/>
        </w:rPr>
      </w:pPr>
    </w:p>
    <w:p>
      <w:pPr>
        <w:jc w:val="center"/>
        <w:ind w:right="-4"/>
        <w:spacing w:after="0"/>
        <w:rPr>
          <w:sz w:val="20"/>
          <w:szCs w:val="20"/>
          <w:color w:val="auto"/>
        </w:rPr>
      </w:pPr>
      <w:r>
        <w:rPr>
          <w:rFonts w:ascii="Arial" w:cs="Arial" w:eastAsia="Arial" w:hAnsi="Arial"/>
          <w:sz w:val="16"/>
          <w:szCs w:val="16"/>
          <w:b w:val="1"/>
          <w:bCs w:val="1"/>
          <w:color w:val="auto"/>
        </w:rPr>
        <w:t>Not Applicable</w:t>
      </w:r>
    </w:p>
    <w:p>
      <w:pPr>
        <w:spacing w:after="0" w:line="10" w:lineRule="exact"/>
        <w:rPr>
          <w:sz w:val="24"/>
          <w:szCs w:val="24"/>
          <w:color w:val="auto"/>
        </w:rPr>
      </w:pPr>
    </w:p>
    <w:p>
      <w:pPr>
        <w:jc w:val="center"/>
        <w:ind w:right="-4"/>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205740</wp:posOffset>
            </wp:positionV>
            <wp:extent cx="142684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ind w:left="5"/>
        <w:spacing w:after="0"/>
        <w:rPr>
          <w:sz w:val="20"/>
          <w:szCs w:val="20"/>
          <w:color w:val="auto"/>
        </w:rPr>
      </w:pPr>
      <w:r>
        <w:rPr>
          <w:rFonts w:ascii="Arial" w:cs="Arial" w:eastAsia="Arial" w:hAnsi="Arial"/>
          <w:sz w:val="13"/>
          <w:szCs w:val="13"/>
          <w:color w:val="auto"/>
        </w:rPr>
        <w:t>Check the appropriate box below if the Form 8-K filing is intended to simultaneously satisfy the filing obligation of the registrant under any of the following provisions:</w:t>
      </w:r>
    </w:p>
    <w:p>
      <w:pPr>
        <w:spacing w:after="0" w:line="87" w:lineRule="exact"/>
        <w:rPr>
          <w:sz w:val="24"/>
          <w:szCs w:val="24"/>
          <w:color w:val="auto"/>
        </w:rPr>
      </w:pPr>
    </w:p>
    <w:p>
      <w:pPr>
        <w:ind w:left="305" w:hanging="305"/>
        <w:spacing w:after="0"/>
        <w:tabs>
          <w:tab w:leader="none" w:pos="305"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Written communications pursuant to Rule 425 under the Securities Act (17 CFR 230.425)</w:t>
      </w:r>
    </w:p>
    <w:p>
      <w:pPr>
        <w:spacing w:after="0" w:line="98" w:lineRule="exact"/>
        <w:rPr>
          <w:rFonts w:ascii="MS PGothic" w:cs="MS PGothic" w:eastAsia="MS PGothic" w:hAnsi="MS PGothic"/>
          <w:sz w:val="13"/>
          <w:szCs w:val="13"/>
          <w:color w:val="auto"/>
        </w:rPr>
      </w:pPr>
    </w:p>
    <w:p>
      <w:pPr>
        <w:ind w:left="305" w:hanging="305"/>
        <w:spacing w:after="0"/>
        <w:tabs>
          <w:tab w:leader="none" w:pos="305"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Soliciting material pursuant to Rule 14a-12 under the Exchange Act (17 CFR 240.14a-12)</w:t>
      </w:r>
    </w:p>
    <w:p>
      <w:pPr>
        <w:spacing w:after="0" w:line="98" w:lineRule="exact"/>
        <w:rPr>
          <w:rFonts w:ascii="MS PGothic" w:cs="MS PGothic" w:eastAsia="MS PGothic" w:hAnsi="MS PGothic"/>
          <w:sz w:val="13"/>
          <w:szCs w:val="13"/>
          <w:color w:val="auto"/>
        </w:rPr>
      </w:pPr>
    </w:p>
    <w:p>
      <w:pPr>
        <w:ind w:left="305" w:hanging="305"/>
        <w:spacing w:after="0"/>
        <w:tabs>
          <w:tab w:leader="none" w:pos="305"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Pre-commencement communications pursuant to Rule 14d-2(b) under the Exchange Act (17 CFR 240.14d-2(b))</w:t>
      </w:r>
    </w:p>
    <w:p>
      <w:pPr>
        <w:spacing w:after="0" w:line="98" w:lineRule="exact"/>
        <w:rPr>
          <w:rFonts w:ascii="MS PGothic" w:cs="MS PGothic" w:eastAsia="MS PGothic" w:hAnsi="MS PGothic"/>
          <w:sz w:val="13"/>
          <w:szCs w:val="13"/>
          <w:color w:val="auto"/>
        </w:rPr>
      </w:pPr>
    </w:p>
    <w:p>
      <w:pPr>
        <w:ind w:left="305" w:hanging="305"/>
        <w:spacing w:after="0"/>
        <w:tabs>
          <w:tab w:leader="none" w:pos="305"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Pre-commencement communications pursuant to Rule 13e-4(c) under the Exchange Act (17 CFR 240.13e-4(c))</w:t>
      </w:r>
    </w:p>
    <w:p>
      <w:pPr>
        <w:spacing w:after="0" w:line="146" w:lineRule="exact"/>
        <w:rPr>
          <w:sz w:val="24"/>
          <w:szCs w:val="24"/>
          <w:color w:val="auto"/>
        </w:rPr>
      </w:pPr>
    </w:p>
    <w:tbl>
      <w:tblPr>
        <w:tblLayout w:type="fixed"/>
        <w:tblInd w:w="5" w:type="dxa"/>
        <w:tblCellMar>
          <w:top w:w="0" w:type="dxa"/>
          <w:left w:w="0" w:type="dxa"/>
          <w:bottom w:w="0" w:type="dxa"/>
          <w:right w:w="0" w:type="dxa"/>
        </w:tblCellMar>
      </w:tblPr>
      <w:tr>
        <w:trPr>
          <w:trHeight w:val="172"/>
        </w:trPr>
        <w:tc>
          <w:tcPr>
            <w:tcW w:w="3600" w:type="dxa"/>
            <w:vAlign w:val="bottom"/>
          </w:tcPr>
          <w:p>
            <w:pPr>
              <w:spacing w:after="0"/>
              <w:rPr>
                <w:sz w:val="14"/>
                <w:szCs w:val="14"/>
                <w:color w:val="auto"/>
              </w:rPr>
            </w:pPr>
          </w:p>
        </w:tc>
        <w:tc>
          <w:tcPr>
            <w:tcW w:w="3780" w:type="dxa"/>
            <w:vAlign w:val="bottom"/>
            <w:gridSpan w:val="5"/>
          </w:tcPr>
          <w:p>
            <w:pPr>
              <w:ind w:left="300"/>
              <w:spacing w:after="0"/>
              <w:rPr>
                <w:sz w:val="20"/>
                <w:szCs w:val="20"/>
                <w:color w:val="auto"/>
              </w:rPr>
            </w:pPr>
            <w:r>
              <w:rPr>
                <w:rFonts w:ascii="Arial" w:cs="Arial" w:eastAsia="Arial" w:hAnsi="Arial"/>
                <w:sz w:val="13"/>
                <w:szCs w:val="13"/>
                <w:b w:val="1"/>
                <w:bCs w:val="1"/>
                <w:color w:val="auto"/>
                <w:w w:val="96"/>
              </w:rPr>
              <w:t>Securities registered pursuant to Section 12(b) of the Act:</w:t>
            </w:r>
          </w:p>
        </w:tc>
        <w:tc>
          <w:tcPr>
            <w:tcW w:w="3880" w:type="dxa"/>
            <w:vAlign w:val="bottom"/>
          </w:tcPr>
          <w:p>
            <w:pPr>
              <w:spacing w:after="0"/>
              <w:rPr>
                <w:sz w:val="14"/>
                <w:szCs w:val="14"/>
                <w:color w:val="auto"/>
              </w:rPr>
            </w:pPr>
          </w:p>
        </w:tc>
      </w:tr>
      <w:tr>
        <w:trPr>
          <w:trHeight w:val="254"/>
        </w:trPr>
        <w:tc>
          <w:tcPr>
            <w:tcW w:w="36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980" w:type="dxa"/>
            <w:vAlign w:val="bottom"/>
            <w:gridSpan w:val="3"/>
          </w:tcPr>
          <w:p>
            <w:pPr>
              <w:jc w:val="center"/>
              <w:ind w:right="1300"/>
              <w:spacing w:after="0"/>
              <w:rPr>
                <w:sz w:val="20"/>
                <w:szCs w:val="20"/>
                <w:color w:val="auto"/>
              </w:rPr>
            </w:pPr>
            <w:r>
              <w:rPr>
                <w:rFonts w:ascii="Arial" w:cs="Arial" w:eastAsia="Arial" w:hAnsi="Arial"/>
                <w:sz w:val="13"/>
                <w:szCs w:val="13"/>
                <w:b w:val="1"/>
                <w:bCs w:val="1"/>
                <w:color w:val="auto"/>
              </w:rPr>
              <w:t>Trading</w:t>
            </w:r>
          </w:p>
        </w:tc>
        <w:tc>
          <w:tcPr>
            <w:tcW w:w="3880" w:type="dxa"/>
            <w:vAlign w:val="bottom"/>
          </w:tcPr>
          <w:p>
            <w:pPr>
              <w:spacing w:after="0"/>
              <w:rPr>
                <w:sz w:val="22"/>
                <w:szCs w:val="22"/>
                <w:color w:val="auto"/>
              </w:rPr>
            </w:pPr>
          </w:p>
        </w:tc>
      </w:tr>
      <w:tr>
        <w:trPr>
          <w:trHeight w:val="150"/>
        </w:trPr>
        <w:tc>
          <w:tcPr>
            <w:tcW w:w="3600" w:type="dxa"/>
            <w:vAlign w:val="bottom"/>
          </w:tcPr>
          <w:p>
            <w:pPr>
              <w:jc w:val="center"/>
              <w:ind w:left="617"/>
              <w:spacing w:after="0"/>
              <w:rPr>
                <w:sz w:val="20"/>
                <w:szCs w:val="20"/>
                <w:color w:val="auto"/>
              </w:rPr>
            </w:pPr>
            <w:r>
              <w:rPr>
                <w:rFonts w:ascii="Arial" w:cs="Arial" w:eastAsia="Arial" w:hAnsi="Arial"/>
                <w:sz w:val="13"/>
                <w:szCs w:val="13"/>
                <w:b w:val="1"/>
                <w:bCs w:val="1"/>
                <w:color w:val="auto"/>
                <w:w w:val="96"/>
              </w:rPr>
              <w:t>Title of each class</w:t>
            </w: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80" w:type="dxa"/>
            <w:vAlign w:val="bottom"/>
            <w:gridSpan w:val="3"/>
          </w:tcPr>
          <w:p>
            <w:pPr>
              <w:jc w:val="center"/>
              <w:ind w:right="1300"/>
              <w:spacing w:after="0"/>
              <w:rPr>
                <w:sz w:val="20"/>
                <w:szCs w:val="20"/>
                <w:color w:val="auto"/>
              </w:rPr>
            </w:pPr>
            <w:r>
              <w:rPr>
                <w:rFonts w:ascii="Arial" w:cs="Arial" w:eastAsia="Arial" w:hAnsi="Arial"/>
                <w:sz w:val="13"/>
                <w:szCs w:val="13"/>
                <w:b w:val="1"/>
                <w:bCs w:val="1"/>
                <w:color w:val="auto"/>
                <w:w w:val="95"/>
              </w:rPr>
              <w:t>Symbol(s)</w:t>
            </w:r>
          </w:p>
        </w:tc>
        <w:tc>
          <w:tcPr>
            <w:tcW w:w="3880" w:type="dxa"/>
            <w:vAlign w:val="bottom"/>
          </w:tcPr>
          <w:p>
            <w:pPr>
              <w:jc w:val="center"/>
              <w:ind w:right="1117"/>
              <w:spacing w:after="0"/>
              <w:rPr>
                <w:sz w:val="20"/>
                <w:szCs w:val="20"/>
                <w:color w:val="auto"/>
              </w:rPr>
            </w:pPr>
            <w:r>
              <w:rPr>
                <w:rFonts w:ascii="Arial" w:cs="Arial" w:eastAsia="Arial" w:hAnsi="Arial"/>
                <w:sz w:val="13"/>
                <w:szCs w:val="13"/>
                <w:b w:val="1"/>
                <w:bCs w:val="1"/>
                <w:color w:val="auto"/>
                <w:w w:val="96"/>
              </w:rPr>
              <w:t>Name of each exchange on which registered</w:t>
            </w:r>
          </w:p>
        </w:tc>
      </w:tr>
      <w:tr>
        <w:trPr>
          <w:trHeight w:val="158"/>
        </w:trPr>
        <w:tc>
          <w:tcPr>
            <w:tcW w:w="3600" w:type="dxa"/>
            <w:vAlign w:val="bottom"/>
            <w:tcBorders>
              <w:top w:val="single" w:sz="8" w:color="auto"/>
            </w:tcBorders>
          </w:tcPr>
          <w:p>
            <w:pPr>
              <w:jc w:val="center"/>
              <w:ind w:left="617"/>
              <w:spacing w:after="0"/>
              <w:rPr>
                <w:sz w:val="20"/>
                <w:szCs w:val="20"/>
                <w:color w:val="auto"/>
              </w:rPr>
            </w:pPr>
            <w:r>
              <w:rPr>
                <w:rFonts w:ascii="Arial" w:cs="Arial" w:eastAsia="Arial" w:hAnsi="Arial"/>
                <w:sz w:val="13"/>
                <w:szCs w:val="13"/>
                <w:color w:val="auto"/>
                <w:w w:val="96"/>
              </w:rPr>
              <w:t>Common Stock, par value $0.10 per share</w:t>
            </w:r>
          </w:p>
        </w:tc>
        <w:tc>
          <w:tcPr>
            <w:tcW w:w="6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8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95"/>
              </w:rPr>
              <w:t>UFI</w:t>
            </w:r>
          </w:p>
        </w:tc>
        <w:tc>
          <w:tcPr>
            <w:tcW w:w="120" w:type="dxa"/>
            <w:vAlign w:val="bottom"/>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3880" w:type="dxa"/>
            <w:vAlign w:val="bottom"/>
            <w:tcBorders>
              <w:top w:val="single" w:sz="8" w:color="auto"/>
            </w:tcBorders>
          </w:tcPr>
          <w:p>
            <w:pPr>
              <w:jc w:val="center"/>
              <w:ind w:right="1137"/>
              <w:spacing w:after="0"/>
              <w:rPr>
                <w:sz w:val="20"/>
                <w:szCs w:val="20"/>
                <w:color w:val="auto"/>
              </w:rPr>
            </w:pPr>
            <w:r>
              <w:rPr>
                <w:rFonts w:ascii="Arial" w:cs="Arial" w:eastAsia="Arial" w:hAnsi="Arial"/>
                <w:sz w:val="13"/>
                <w:szCs w:val="13"/>
                <w:color w:val="auto"/>
                <w:w w:val="96"/>
              </w:rPr>
              <w:t>New York Stock Exchange</w:t>
            </w:r>
          </w:p>
        </w:tc>
      </w:tr>
    </w:tbl>
    <w:p>
      <w:pPr>
        <w:spacing w:after="0" w:line="157" w:lineRule="exact"/>
        <w:rPr>
          <w:sz w:val="24"/>
          <w:szCs w:val="24"/>
          <w:color w:val="auto"/>
        </w:rPr>
      </w:pPr>
    </w:p>
    <w:p>
      <w:pPr>
        <w:ind w:left="5" w:right="180"/>
        <w:spacing w:after="0" w:line="254" w:lineRule="auto"/>
        <w:rPr>
          <w:sz w:val="20"/>
          <w:szCs w:val="20"/>
          <w:color w:val="auto"/>
        </w:rPr>
      </w:pPr>
      <w:r>
        <w:rPr>
          <w:rFonts w:ascii="Arial" w:cs="Arial" w:eastAsia="Arial" w:hAnsi="Arial"/>
          <w:sz w:val="13"/>
          <w:szCs w:val="13"/>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0" w:lineRule="exact"/>
        <w:rPr>
          <w:sz w:val="24"/>
          <w:szCs w:val="24"/>
          <w:color w:val="auto"/>
        </w:rPr>
      </w:pPr>
    </w:p>
    <w:p>
      <w:pPr>
        <w:ind w:left="5"/>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175" w:lineRule="exact"/>
        <w:rPr>
          <w:sz w:val="24"/>
          <w:szCs w:val="24"/>
          <w:color w:val="auto"/>
        </w:rPr>
      </w:pPr>
    </w:p>
    <w:p>
      <w:pPr>
        <w:ind w:left="5" w:right="440"/>
        <w:spacing w:after="0" w:line="163"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536575</wp:posOffset>
            </wp:positionV>
            <wp:extent cx="717486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106680</wp:posOffset>
            </wp:positionV>
            <wp:extent cx="714946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121285</wp:posOffset>
            </wp:positionV>
            <wp:extent cx="714946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ectPr>
          <w:pgSz w:w="11900" w:h="16838" w:orient="portrait"/>
          <w:cols w:equalWidth="0" w:num="1">
            <w:col w:w="11265"/>
          </w:cols>
          <w:pgMar w:left="315" w:top="1085" w:right="319" w:bottom="1440" w:gutter="0" w:footer="0" w:header="0"/>
        </w:sectPr>
      </w:pPr>
    </w:p>
    <w:bookmarkStart w:id="1" w:name="page2"/>
    <w:bookmarkEnd w:id="1"/>
    <w:p>
      <w:pPr>
        <w:ind w:left="5"/>
        <w:spacing w:after="0"/>
        <w:rPr>
          <w:sz w:val="20"/>
          <w:szCs w:val="20"/>
          <w:color w:val="auto"/>
        </w:rPr>
      </w:pPr>
      <w:r>
        <w:rPr>
          <w:rFonts w:ascii="Arial" w:cs="Arial" w:eastAsia="Arial" w:hAnsi="Arial"/>
          <w:sz w:val="13"/>
          <w:szCs w:val="13"/>
          <w:b w:val="1"/>
          <w:bCs w:val="1"/>
          <w:color w:val="auto"/>
        </w:rPr>
        <w:t>Item 2.02.  Results of Operations and Financial Condition.</w:t>
      </w:r>
    </w:p>
    <w:p>
      <w:pPr>
        <w:spacing w:after="0" w:line="87" w:lineRule="exact"/>
        <w:rPr>
          <w:sz w:val="20"/>
          <w:szCs w:val="20"/>
          <w:color w:val="auto"/>
        </w:rPr>
      </w:pPr>
    </w:p>
    <w:p>
      <w:pPr>
        <w:ind w:left="5"/>
        <w:spacing w:after="0"/>
        <w:rPr>
          <w:sz w:val="20"/>
          <w:szCs w:val="20"/>
          <w:color w:val="auto"/>
        </w:rPr>
      </w:pPr>
      <w:r>
        <w:rPr>
          <w:rFonts w:ascii="Arial" w:cs="Arial" w:eastAsia="Arial" w:hAnsi="Arial"/>
          <w:sz w:val="13"/>
          <w:szCs w:val="13"/>
          <w:color w:val="auto"/>
        </w:rPr>
        <w:t>On May 5, 2026, the Company issued a press release announcing its operating results for the fiscal third quarter ended March 29, 2026, a copy of which is attached hereto as Exhibit 99.1.</w:t>
      </w:r>
    </w:p>
    <w:p>
      <w:pPr>
        <w:spacing w:after="0" w:line="217" w:lineRule="exact"/>
        <w:rPr>
          <w:sz w:val="20"/>
          <w:szCs w:val="20"/>
          <w:color w:val="auto"/>
        </w:rPr>
      </w:pPr>
    </w:p>
    <w:p>
      <w:pPr>
        <w:ind w:left="5"/>
        <w:spacing w:after="0"/>
        <w:rPr>
          <w:sz w:val="20"/>
          <w:szCs w:val="20"/>
          <w:color w:val="auto"/>
        </w:rPr>
      </w:pPr>
      <w:r>
        <w:rPr>
          <w:rFonts w:ascii="Arial" w:cs="Arial" w:eastAsia="Arial" w:hAnsi="Arial"/>
          <w:sz w:val="13"/>
          <w:szCs w:val="13"/>
          <w:b w:val="1"/>
          <w:bCs w:val="1"/>
          <w:color w:val="auto"/>
        </w:rPr>
        <w:t>Item 7.01.  Regulation FD Disclosure.</w:t>
      </w:r>
    </w:p>
    <w:p>
      <w:pPr>
        <w:spacing w:after="0" w:line="87" w:lineRule="exact"/>
        <w:rPr>
          <w:sz w:val="20"/>
          <w:szCs w:val="20"/>
          <w:color w:val="auto"/>
        </w:rPr>
      </w:pPr>
    </w:p>
    <w:p>
      <w:pPr>
        <w:ind w:left="5" w:right="20"/>
        <w:spacing w:after="0" w:line="254" w:lineRule="auto"/>
        <w:rPr>
          <w:sz w:val="20"/>
          <w:szCs w:val="20"/>
          <w:color w:val="auto"/>
        </w:rPr>
      </w:pPr>
      <w:r>
        <w:rPr>
          <w:rFonts w:ascii="Arial" w:cs="Arial" w:eastAsia="Arial" w:hAnsi="Arial"/>
          <w:sz w:val="13"/>
          <w:szCs w:val="13"/>
          <w:color w:val="auto"/>
        </w:rPr>
        <w:t>On May 6, 2026, the Company will host a conference call to discuss its operating results for the fiscal third quarter ended March 29, 2026. A copy of the materials prepared for use by management during this conference call is attached hereto as Exhibit 99.2.</w:t>
      </w:r>
    </w:p>
    <w:p>
      <w:pPr>
        <w:spacing w:after="0" w:line="180" w:lineRule="exact"/>
        <w:rPr>
          <w:sz w:val="20"/>
          <w:szCs w:val="20"/>
          <w:color w:val="auto"/>
        </w:rPr>
      </w:pPr>
    </w:p>
    <w:p>
      <w:pPr>
        <w:ind w:left="5"/>
        <w:spacing w:after="0"/>
        <w:rPr>
          <w:sz w:val="20"/>
          <w:szCs w:val="20"/>
          <w:color w:val="auto"/>
        </w:rPr>
      </w:pPr>
      <w:r>
        <w:rPr>
          <w:rFonts w:ascii="Arial" w:cs="Arial" w:eastAsia="Arial" w:hAnsi="Arial"/>
          <w:sz w:val="13"/>
          <w:szCs w:val="13"/>
          <w:b w:val="1"/>
          <w:bCs w:val="1"/>
          <w:color w:val="auto"/>
        </w:rPr>
        <w:t>Item 9.01.  Financial Statements and Exhibits.</w:t>
      </w:r>
    </w:p>
    <w:p>
      <w:pPr>
        <w:spacing w:after="0" w:line="89" w:lineRule="exact"/>
        <w:rPr>
          <w:sz w:val="20"/>
          <w:szCs w:val="20"/>
          <w:color w:val="auto"/>
        </w:rPr>
      </w:pPr>
    </w:p>
    <w:p>
      <w:pPr>
        <w:ind w:left="185" w:hanging="185"/>
        <w:spacing w:after="0"/>
        <w:tabs>
          <w:tab w:leader="none" w:pos="185" w:val="left"/>
        </w:tabs>
        <w:numPr>
          <w:ilvl w:val="0"/>
          <w:numId w:val="2"/>
        </w:numPr>
        <w:rPr>
          <w:rFonts w:ascii="Arial" w:cs="Arial" w:eastAsia="Arial" w:hAnsi="Arial"/>
          <w:sz w:val="13"/>
          <w:szCs w:val="13"/>
          <w:color w:val="auto"/>
        </w:rPr>
      </w:pPr>
      <w:r>
        <w:rPr>
          <w:rFonts w:ascii="Arial" w:cs="Arial" w:eastAsia="Arial" w:hAnsi="Arial"/>
          <w:sz w:val="13"/>
          <w:szCs w:val="13"/>
          <w:i w:val="1"/>
          <w:iCs w:val="1"/>
          <w:color w:val="auto"/>
        </w:rPr>
        <w:t>Exhibits.</w:t>
      </w:r>
    </w:p>
    <w:p>
      <w:pPr>
        <w:spacing w:after="0" w:line="132" w:lineRule="exact"/>
        <w:rPr>
          <w:rFonts w:ascii="Arial" w:cs="Arial" w:eastAsia="Arial" w:hAnsi="Arial"/>
          <w:sz w:val="13"/>
          <w:szCs w:val="13"/>
          <w:color w:val="auto"/>
        </w:rPr>
      </w:pPr>
    </w:p>
    <w:p>
      <w:pPr>
        <w:ind w:left="285" w:right="9540" w:hanging="109"/>
        <w:spacing w:after="0" w:line="252" w:lineRule="auto"/>
        <w:rPr>
          <w:rFonts w:ascii="Arial" w:cs="Arial" w:eastAsia="Arial" w:hAnsi="Arial"/>
          <w:sz w:val="13"/>
          <w:szCs w:val="13"/>
          <w:color w:val="auto"/>
        </w:rPr>
      </w:pPr>
      <w:r>
        <w:rPr>
          <w:rFonts w:ascii="Arial" w:cs="Arial" w:eastAsia="Arial" w:hAnsi="Arial"/>
          <w:sz w:val="13"/>
          <w:szCs w:val="13"/>
          <w:b w:val="1"/>
          <w:bCs w:val="1"/>
          <w:color w:val="auto"/>
        </w:rPr>
        <w:t>ExhibitDescription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14946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249" w:lineRule="exact"/>
        <w:rPr>
          <w:sz w:val="20"/>
          <w:szCs w:val="20"/>
          <w:color w:val="auto"/>
        </w:rPr>
      </w:pPr>
    </w:p>
    <w:tbl>
      <w:tblPr>
        <w:tblLayout w:type="fixed"/>
        <w:tblInd w:w="265" w:type="dxa"/>
        <w:tblCellMar>
          <w:top w:w="0" w:type="dxa"/>
          <w:left w:w="0" w:type="dxa"/>
          <w:bottom w:w="0" w:type="dxa"/>
          <w:right w:w="0" w:type="dxa"/>
        </w:tblCellMar>
      </w:tblPr>
      <w:tr>
        <w:trPr>
          <w:trHeight w:val="149"/>
        </w:trPr>
        <w:tc>
          <w:tcPr>
            <w:tcW w:w="760" w:type="dxa"/>
            <w:vAlign w:val="bottom"/>
          </w:tcPr>
          <w:p>
            <w:pPr>
              <w:jc w:val="center"/>
              <w:ind w:right="437"/>
              <w:spacing w:after="0"/>
              <w:rPr>
                <w:sz w:val="20"/>
                <w:szCs w:val="20"/>
                <w:color w:val="auto"/>
              </w:rPr>
            </w:pPr>
            <w:r>
              <w:rPr>
                <w:rFonts w:ascii="Arial" w:cs="Arial" w:eastAsia="Arial" w:hAnsi="Arial"/>
                <w:sz w:val="13"/>
                <w:szCs w:val="13"/>
                <w:color w:val="auto"/>
              </w:rPr>
              <w:t>99.1</w:t>
            </w:r>
          </w:p>
        </w:tc>
        <w:tc>
          <w:tcPr>
            <w:tcW w:w="2860" w:type="dxa"/>
            <w:vAlign w:val="bottom"/>
            <w:tcBorders>
              <w:bottom w:val="single" w:sz="8" w:color="0000FF"/>
            </w:tcBorders>
            <w:gridSpan w:val="3"/>
          </w:tcPr>
          <w:p>
            <w:pPr>
              <w:spacing w:after="0"/>
              <w:rPr>
                <w:sz w:val="20"/>
                <w:szCs w:val="20"/>
                <w:color w:val="auto"/>
              </w:rPr>
            </w:pPr>
            <w:r>
              <w:rPr>
                <w:rFonts w:ascii="Arial" w:cs="Arial" w:eastAsia="Arial" w:hAnsi="Arial"/>
                <w:sz w:val="13"/>
                <w:szCs w:val="13"/>
                <w:color w:val="0000FF"/>
                <w:w w:val="96"/>
              </w:rPr>
              <w:t>Press Release of Unifi, Inc., dated March 29, 2026.</w:t>
            </w:r>
          </w:p>
        </w:tc>
        <w:tc>
          <w:tcPr>
            <w:tcW w:w="1580" w:type="dxa"/>
            <w:vAlign w:val="bottom"/>
          </w:tcPr>
          <w:p>
            <w:pPr>
              <w:spacing w:after="0"/>
              <w:rPr>
                <w:sz w:val="13"/>
                <w:szCs w:val="13"/>
                <w:color w:val="auto"/>
              </w:rPr>
            </w:pPr>
          </w:p>
        </w:tc>
      </w:tr>
      <w:tr>
        <w:trPr>
          <w:trHeight w:val="264"/>
        </w:trPr>
        <w:tc>
          <w:tcPr>
            <w:tcW w:w="760" w:type="dxa"/>
            <w:vAlign w:val="bottom"/>
          </w:tcPr>
          <w:p>
            <w:pPr>
              <w:jc w:val="center"/>
              <w:ind w:right="437"/>
              <w:spacing w:after="0"/>
              <w:rPr>
                <w:sz w:val="20"/>
                <w:szCs w:val="20"/>
                <w:color w:val="auto"/>
              </w:rPr>
            </w:pPr>
            <w:r>
              <w:rPr>
                <w:rFonts w:ascii="Arial" w:cs="Arial" w:eastAsia="Arial" w:hAnsi="Arial"/>
                <w:sz w:val="13"/>
                <w:szCs w:val="13"/>
                <w:color w:val="auto"/>
              </w:rPr>
              <w:t>99.2</w:t>
            </w:r>
          </w:p>
        </w:tc>
        <w:tc>
          <w:tcPr>
            <w:tcW w:w="2080" w:type="dxa"/>
            <w:vAlign w:val="bottom"/>
            <w:tcBorders>
              <w:bottom w:val="single" w:sz="8" w:color="0000FF"/>
            </w:tcBorders>
          </w:tcPr>
          <w:p>
            <w:pPr>
              <w:spacing w:after="0"/>
              <w:rPr>
                <w:sz w:val="20"/>
                <w:szCs w:val="20"/>
                <w:color w:val="auto"/>
              </w:rPr>
            </w:pPr>
            <w:r>
              <w:rPr>
                <w:rFonts w:ascii="Arial" w:cs="Arial" w:eastAsia="Arial" w:hAnsi="Arial"/>
                <w:sz w:val="13"/>
                <w:szCs w:val="13"/>
                <w:color w:val="0000FF"/>
                <w:w w:val="96"/>
              </w:rPr>
              <w:t>Earnings Call Presentation Materials.</w:t>
            </w:r>
          </w:p>
        </w:tc>
        <w:tc>
          <w:tcPr>
            <w:tcW w:w="20" w:type="dxa"/>
            <w:vAlign w:val="bottom"/>
            <w:tcBorders>
              <w:bottom w:val="single" w:sz="8" w:color="0000EE"/>
            </w:tcBorders>
          </w:tcPr>
          <w:p>
            <w:pPr>
              <w:spacing w:after="0"/>
              <w:rPr>
                <w:sz w:val="22"/>
                <w:szCs w:val="22"/>
                <w:color w:val="auto"/>
              </w:rPr>
            </w:pPr>
          </w:p>
        </w:tc>
        <w:tc>
          <w:tcPr>
            <w:tcW w:w="2340" w:type="dxa"/>
            <w:vAlign w:val="bottom"/>
            <w:gridSpan w:val="2"/>
          </w:tcPr>
          <w:p>
            <w:pPr>
              <w:spacing w:after="0"/>
              <w:rPr>
                <w:sz w:val="22"/>
                <w:szCs w:val="22"/>
                <w:color w:val="auto"/>
              </w:rPr>
            </w:pPr>
          </w:p>
        </w:tc>
      </w:tr>
      <w:tr>
        <w:trPr>
          <w:trHeight w:val="292"/>
        </w:trPr>
        <w:tc>
          <w:tcPr>
            <w:tcW w:w="760" w:type="dxa"/>
            <w:vAlign w:val="bottom"/>
          </w:tcPr>
          <w:p>
            <w:pPr>
              <w:jc w:val="center"/>
              <w:ind w:right="437"/>
              <w:spacing w:after="0"/>
              <w:rPr>
                <w:sz w:val="20"/>
                <w:szCs w:val="20"/>
                <w:color w:val="auto"/>
              </w:rPr>
            </w:pPr>
            <w:r>
              <w:rPr>
                <w:rFonts w:ascii="Arial" w:cs="Arial" w:eastAsia="Arial" w:hAnsi="Arial"/>
                <w:sz w:val="13"/>
                <w:szCs w:val="13"/>
                <w:color w:val="auto"/>
              </w:rPr>
              <w:t>104</w:t>
            </w:r>
          </w:p>
        </w:tc>
        <w:tc>
          <w:tcPr>
            <w:tcW w:w="4440" w:type="dxa"/>
            <w:vAlign w:val="bottom"/>
            <w:gridSpan w:val="4"/>
          </w:tcPr>
          <w:p>
            <w:pPr>
              <w:spacing w:after="0"/>
              <w:rPr>
                <w:sz w:val="20"/>
                <w:szCs w:val="20"/>
                <w:color w:val="auto"/>
              </w:rPr>
            </w:pPr>
            <w:r>
              <w:rPr>
                <w:rFonts w:ascii="Arial" w:cs="Arial" w:eastAsia="Arial" w:hAnsi="Arial"/>
                <w:sz w:val="13"/>
                <w:szCs w:val="13"/>
                <w:color w:val="auto"/>
                <w:w w:val="96"/>
              </w:rPr>
              <w:t>Cover Page Interactive Data File (embedded within the Inline XBRL document).</w:t>
            </w:r>
          </w:p>
        </w:tc>
      </w:tr>
    </w:tbl>
    <w:p>
      <w:pPr>
        <w:spacing w:after="0" w:line="118" w:lineRule="exact"/>
        <w:rPr>
          <w:sz w:val="20"/>
          <w:szCs w:val="20"/>
          <w:color w:val="auto"/>
        </w:rPr>
      </w:pPr>
    </w:p>
    <w:p>
      <w:pPr>
        <w:jc w:val="both"/>
        <w:ind w:left="5"/>
        <w:spacing w:after="0" w:line="241" w:lineRule="auto"/>
        <w:rPr>
          <w:sz w:val="20"/>
          <w:szCs w:val="20"/>
          <w:color w:val="auto"/>
        </w:rPr>
      </w:pPr>
      <w:r>
        <w:rPr>
          <w:rFonts w:ascii="Arial" w:cs="Arial" w:eastAsia="Arial" w:hAnsi="Arial"/>
          <w:sz w:val="13"/>
          <w:szCs w:val="13"/>
          <w:color w:val="auto"/>
        </w:rPr>
        <w:t>The information in this Current Report on Form 8-K, including the exhibits attached hereto, is being furnished and shall not be deemed to be “filed” for purposes of Section 18 of the Securities Exchange Act of 1934, as amended (the “Exchange Act”), or otherwise subject to the liabilities of that section, nor shall it be deemed to be incorporated by reference in any filing under the Securities Act of 1933, as amended, or the Exchange Act, except as shall be expressly set forth by specific reference in any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397510</wp:posOffset>
            </wp:positionV>
            <wp:extent cx="7174865"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983" w:right="319" w:bottom="1440" w:gutter="0" w:footer="0" w:header="0"/>
        </w:sectPr>
      </w:pPr>
    </w:p>
    <w:bookmarkStart w:id="2" w:name="page3"/>
    <w:bookmarkEnd w:id="2"/>
    <w:p>
      <w:pPr>
        <w:ind w:left="5220"/>
        <w:spacing w:after="0"/>
        <w:rPr>
          <w:sz w:val="20"/>
          <w:szCs w:val="20"/>
          <w:color w:val="auto"/>
        </w:rPr>
      </w:pPr>
      <w:r>
        <w:rPr>
          <w:rFonts w:ascii="Arial" w:cs="Arial" w:eastAsia="Arial" w:hAnsi="Arial"/>
          <w:sz w:val="13"/>
          <w:szCs w:val="13"/>
          <w:b w:val="1"/>
          <w:bCs w:val="1"/>
          <w:color w:val="auto"/>
        </w:rPr>
        <w:t>SIGNATURES</w:t>
      </w:r>
    </w:p>
    <w:p>
      <w:pPr>
        <w:spacing w:after="0" w:line="134"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220" w:lineRule="exact"/>
        <w:rPr>
          <w:sz w:val="20"/>
          <w:szCs w:val="20"/>
          <w:color w:val="auto"/>
        </w:rPr>
      </w:pPr>
    </w:p>
    <w:p>
      <w:pPr>
        <w:ind w:left="6080"/>
        <w:spacing w:after="0"/>
        <w:rPr>
          <w:sz w:val="20"/>
          <w:szCs w:val="20"/>
          <w:color w:val="auto"/>
        </w:rPr>
      </w:pPr>
      <w:r>
        <w:rPr>
          <w:rFonts w:ascii="Arial" w:cs="Arial" w:eastAsia="Arial" w:hAnsi="Arial"/>
          <w:sz w:val="16"/>
          <w:szCs w:val="16"/>
          <w:b w:val="1"/>
          <w:bCs w:val="1"/>
          <w:color w:val="auto"/>
        </w:rPr>
        <w:t>UNIFI, INC.</w:t>
      </w:r>
    </w:p>
    <w:p>
      <w:pPr>
        <w:spacing w:after="0" w:line="310"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Arial" w:cs="Arial" w:eastAsia="Arial" w:hAnsi="Arial"/>
          <w:sz w:val="13"/>
          <w:szCs w:val="13"/>
          <w:color w:val="auto"/>
        </w:rPr>
        <w:t>Date:</w:t>
      </w:r>
      <w:r>
        <w:rPr>
          <w:sz w:val="20"/>
          <w:szCs w:val="20"/>
          <w:color w:val="auto"/>
        </w:rPr>
        <w:tab/>
      </w:r>
      <w:r>
        <w:rPr>
          <w:rFonts w:ascii="Arial" w:cs="Arial" w:eastAsia="Arial" w:hAnsi="Arial"/>
          <w:sz w:val="13"/>
          <w:szCs w:val="13"/>
          <w:color w:val="auto"/>
        </w:rPr>
        <w:t>May 5, 2026</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2"/>
          <w:szCs w:val="12"/>
          <w:color w:val="auto"/>
        </w:rPr>
        <w:t>/s/ ANDREW J. EAKER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0</wp:posOffset>
            </wp:positionV>
            <wp:extent cx="328168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81680" cy="7620"/>
                    </a:xfrm>
                    <a:prstGeom prst="rect">
                      <a:avLst/>
                    </a:prstGeom>
                    <a:noFill/>
                  </pic:spPr>
                </pic:pic>
              </a:graphicData>
            </a:graphic>
          </wp:anchor>
        </w:drawing>
      </w:r>
    </w:p>
    <w:p>
      <w:pPr>
        <w:ind w:left="6080"/>
        <w:spacing w:after="0"/>
        <w:rPr>
          <w:sz w:val="20"/>
          <w:szCs w:val="20"/>
          <w:color w:val="auto"/>
        </w:rPr>
      </w:pPr>
      <w:r>
        <w:rPr>
          <w:rFonts w:ascii="Arial" w:cs="Arial" w:eastAsia="Arial" w:hAnsi="Arial"/>
          <w:sz w:val="13"/>
          <w:szCs w:val="13"/>
          <w:color w:val="auto"/>
        </w:rPr>
        <w:t>Andrew J. Eaker</w:t>
      </w:r>
    </w:p>
    <w:p>
      <w:pPr>
        <w:ind w:left="6080"/>
        <w:spacing w:after="0" w:line="234" w:lineRule="auto"/>
        <w:rPr>
          <w:sz w:val="20"/>
          <w:szCs w:val="20"/>
          <w:color w:val="auto"/>
        </w:rPr>
      </w:pPr>
      <w:r>
        <w:rPr>
          <w:rFonts w:ascii="Arial" w:cs="Arial" w:eastAsia="Arial" w:hAnsi="Arial"/>
          <w:sz w:val="13"/>
          <w:szCs w:val="13"/>
          <w:color w:val="auto"/>
        </w:rPr>
        <w:t>Executive Vice President &amp; Chief Financial Officer</w:t>
      </w:r>
    </w:p>
    <w:p>
      <w:pPr>
        <w:ind w:left="6080"/>
        <w:spacing w:after="0"/>
        <w:rPr>
          <w:sz w:val="20"/>
          <w:szCs w:val="20"/>
          <w:color w:val="auto"/>
        </w:rPr>
      </w:pPr>
      <w:r>
        <w:rPr>
          <w:rFonts w:ascii="Arial" w:cs="Arial" w:eastAsia="Arial" w:hAnsi="Arial"/>
          <w:sz w:val="13"/>
          <w:szCs w:val="13"/>
          <w:color w:val="auto"/>
        </w:rPr>
        <w:t>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610870</wp:posOffset>
            </wp:positionV>
            <wp:extent cx="717486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180"/>
          </w:cols>
          <w:pgMar w:left="320" w:top="699" w:right="1399" w:bottom="1440" w:gutter="0" w:footer="0" w:header="0"/>
        </w:sectPr>
      </w:pPr>
    </w:p>
    <w:bookmarkStart w:id="3" w:name="page4"/>
    <w:bookmarkEnd w:id="3"/>
    <w:p>
      <w:pPr>
        <w:spacing w:after="0" w:line="32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449580</wp:posOffset>
            </wp:positionV>
            <wp:extent cx="1081405" cy="4057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081405" cy="40576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3"/>
          <w:szCs w:val="13"/>
          <w:b w:val="1"/>
          <w:bCs w:val="1"/>
          <w:u w:val="single" w:color="auto"/>
          <w:color w:val="auto"/>
        </w:rPr>
        <w:t>Exhibit 99.1</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UNIFI</w:t>
      </w:r>
      <w:r>
        <w:rPr>
          <w:rFonts w:ascii="Arial" w:cs="Arial" w:eastAsia="Arial" w:hAnsi="Arial"/>
          <w:sz w:val="26"/>
          <w:szCs w:val="26"/>
          <w:b w:val="1"/>
          <w:bCs w:val="1"/>
          <w:u w:val="single" w:color="auto"/>
          <w:color w:val="auto"/>
          <w:vertAlign w:val="superscript"/>
        </w:rPr>
        <w:t>®</w:t>
      </w:r>
      <w:r>
        <w:rPr>
          <w:rFonts w:ascii="Arial" w:cs="Arial" w:eastAsia="Arial" w:hAnsi="Arial"/>
          <w:sz w:val="20"/>
          <w:szCs w:val="20"/>
          <w:b w:val="1"/>
          <w:bCs w:val="1"/>
          <w:u w:val="single" w:color="auto"/>
          <w:color w:val="auto"/>
        </w:rPr>
        <w:t>, Makers of REPREVE</w:t>
      </w:r>
      <w:r>
        <w:rPr>
          <w:rFonts w:ascii="Arial" w:cs="Arial" w:eastAsia="Arial" w:hAnsi="Arial"/>
          <w:sz w:val="26"/>
          <w:szCs w:val="26"/>
          <w:b w:val="1"/>
          <w:bCs w:val="1"/>
          <w:u w:val="single" w:color="auto"/>
          <w:color w:val="auto"/>
          <w:vertAlign w:val="superscript"/>
        </w:rPr>
        <w:t>®</w:t>
      </w:r>
      <w:r>
        <w:rPr>
          <w:rFonts w:ascii="Arial" w:cs="Arial" w:eastAsia="Arial" w:hAnsi="Arial"/>
          <w:sz w:val="20"/>
          <w:szCs w:val="20"/>
          <w:b w:val="1"/>
          <w:bCs w:val="1"/>
          <w:u w:val="single" w:color="auto"/>
          <w:color w:val="auto"/>
        </w:rPr>
        <w:t>, Announces Third Quarter Fiscal 2026 Results</w:t>
      </w:r>
    </w:p>
    <w:p>
      <w:pPr>
        <w:spacing w:after="0" w:line="121" w:lineRule="exact"/>
        <w:rPr>
          <w:sz w:val="20"/>
          <w:szCs w:val="20"/>
          <w:color w:val="auto"/>
        </w:rPr>
      </w:pPr>
    </w:p>
    <w:p>
      <w:pPr>
        <w:jc w:val="center"/>
        <w:ind w:right="60"/>
        <w:spacing w:after="0"/>
        <w:rPr>
          <w:sz w:val="20"/>
          <w:szCs w:val="20"/>
          <w:color w:val="auto"/>
        </w:rPr>
      </w:pPr>
      <w:r>
        <w:rPr>
          <w:rFonts w:ascii="Arial" w:cs="Arial" w:eastAsia="Arial" w:hAnsi="Arial"/>
          <w:sz w:val="16"/>
          <w:szCs w:val="16"/>
          <w:i w:val="1"/>
          <w:iCs w:val="1"/>
          <w:color w:val="auto"/>
        </w:rPr>
        <w:t>Significant profitability improvement and cash flow generation provide operating momentum and balance sheet strength</w:t>
      </w:r>
    </w:p>
    <w:p>
      <w:pPr>
        <w:spacing w:after="0" w:line="352" w:lineRule="exact"/>
        <w:rPr>
          <w:sz w:val="20"/>
          <w:szCs w:val="20"/>
          <w:color w:val="auto"/>
        </w:rPr>
      </w:pPr>
    </w:p>
    <w:p>
      <w:pPr>
        <w:ind w:right="20"/>
        <w:spacing w:after="0" w:line="221" w:lineRule="auto"/>
        <w:rPr>
          <w:sz w:val="20"/>
          <w:szCs w:val="20"/>
          <w:color w:val="auto"/>
        </w:rPr>
      </w:pPr>
      <w:r>
        <w:rPr>
          <w:rFonts w:ascii="Arial" w:cs="Arial" w:eastAsia="Arial" w:hAnsi="Arial"/>
          <w:sz w:val="16"/>
          <w:szCs w:val="16"/>
          <w:b w:val="1"/>
          <w:bCs w:val="1"/>
          <w:color w:val="auto"/>
        </w:rPr>
        <w:t xml:space="preserve">GREENSBORO, N.C., May 5, 2026 – </w:t>
      </w:r>
      <w:r>
        <w:rPr>
          <w:rFonts w:ascii="Arial" w:cs="Arial" w:eastAsia="Arial" w:hAnsi="Arial"/>
          <w:sz w:val="16"/>
          <w:szCs w:val="16"/>
          <w:color w:val="auto"/>
        </w:rPr>
        <w:t>Unifi, Inc. (NYSE: UFI), the makers of REPREVE</w:t>
      </w:r>
      <w:r>
        <w:rPr>
          <w:rFonts w:ascii="Arial" w:cs="Arial" w:eastAsia="Arial" w:hAnsi="Arial"/>
          <w:sz w:val="21"/>
          <w:szCs w:val="21"/>
          <w:color w:val="auto"/>
          <w:vertAlign w:val="superscript"/>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and one of the world’s leading innovators in recycled and synthetic</w:t>
      </w:r>
      <w:r>
        <w:rPr>
          <w:rFonts w:ascii="Arial" w:cs="Arial" w:eastAsia="Arial" w:hAnsi="Arial"/>
          <w:sz w:val="16"/>
          <w:szCs w:val="16"/>
          <w:b w:val="1"/>
          <w:bCs w:val="1"/>
          <w:color w:val="auto"/>
        </w:rPr>
        <w:t xml:space="preserve"> </w:t>
      </w:r>
      <w:r>
        <w:rPr>
          <w:rFonts w:ascii="Arial" w:cs="Arial" w:eastAsia="Arial" w:hAnsi="Arial"/>
          <w:sz w:val="16"/>
          <w:szCs w:val="16"/>
          <w:color w:val="auto"/>
        </w:rPr>
        <w:t>yarns, today released operating results for the third fiscal quarter ended March 29, 2026.</w:t>
      </w:r>
    </w:p>
    <w:p>
      <w:pPr>
        <w:spacing w:after="0" w:line="32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Third Quarter Fiscal 2026 Highlights</w:t>
      </w:r>
    </w:p>
    <w:p>
      <w:pPr>
        <w:spacing w:after="0" w:line="66" w:lineRule="exact"/>
        <w:rPr>
          <w:sz w:val="20"/>
          <w:szCs w:val="20"/>
          <w:color w:val="auto"/>
        </w:rPr>
      </w:pPr>
    </w:p>
    <w:p>
      <w:pPr>
        <w:ind w:left="1020" w:right="20" w:hanging="516"/>
        <w:spacing w:after="0" w:line="260" w:lineRule="auto"/>
        <w:tabs>
          <w:tab w:leader="none" w:pos="102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Cash provided by operating activities was $8.0 million during the third quarter of fiscal 2026 and $24.4 million during the nine months ended March 29, 2026.</w:t>
      </w:r>
    </w:p>
    <w:p>
      <w:pPr>
        <w:spacing w:after="0" w:line="26"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Debt principal was $94.9 million and Net Debt* was $68.4 million at March 29, 2026.</w:t>
      </w:r>
    </w:p>
    <w:p>
      <w:pPr>
        <w:spacing w:after="0" w:line="75"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SG&amp;A expenses were $11.2 million, a decrease of 9.0% from the third quarter of fiscal 2025, primarily driven by cost reduction efforts.</w:t>
      </w:r>
    </w:p>
    <w:p>
      <w:pPr>
        <w:spacing w:after="0" w:line="75"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Net sales were $130.0 million, a decrease of 11.3% from the third quarter of fiscal 2025, but an increase of 7.1% sequentially.</w:t>
      </w:r>
    </w:p>
    <w:p>
      <w:pPr>
        <w:spacing w:after="0" w:line="75" w:lineRule="exact"/>
        <w:rPr>
          <w:rFonts w:ascii="Times New Roman" w:cs="Times New Roman" w:eastAsia="Times New Roman" w:hAnsi="Times New Roman"/>
          <w:sz w:val="16"/>
          <w:szCs w:val="16"/>
          <w:color w:val="auto"/>
        </w:rPr>
      </w:pPr>
    </w:p>
    <w:p>
      <w:pPr>
        <w:ind w:left="1020" w:right="20" w:hanging="516"/>
        <w:spacing w:after="0" w:line="260" w:lineRule="auto"/>
        <w:tabs>
          <w:tab w:leader="none" w:pos="102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Revenues from REPREVE Fiber products were $38.2 million and represented 29% of net sales, compared to $34.3 million or 28% of net sales for the second quarter of fiscal 2026.</w:t>
      </w:r>
    </w:p>
    <w:p>
      <w:pPr>
        <w:spacing w:after="0" w:line="26" w:lineRule="exact"/>
        <w:rPr>
          <w:rFonts w:ascii="Times New Roman" w:cs="Times New Roman" w:eastAsia="Times New Roman" w:hAnsi="Times New Roman"/>
          <w:sz w:val="16"/>
          <w:szCs w:val="16"/>
          <w:color w:val="auto"/>
        </w:rPr>
      </w:pPr>
    </w:p>
    <w:p>
      <w:pPr>
        <w:ind w:left="1020" w:right="20" w:hanging="516"/>
        <w:spacing w:after="0" w:line="260" w:lineRule="auto"/>
        <w:tabs>
          <w:tab w:leader="none" w:pos="102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Gross profit was $9.1 million and gross margin was 7.0%, compared to gross loss of $0.4 million and gross margin of (0.3)% for the third quarter of fiscal 2025.</w:t>
      </w:r>
    </w:p>
    <w:p>
      <w:pPr>
        <w:spacing w:after="0" w:line="26" w:lineRule="exact"/>
        <w:rPr>
          <w:rFonts w:ascii="Times New Roman" w:cs="Times New Roman" w:eastAsia="Times New Roman" w:hAnsi="Times New Roman"/>
          <w:sz w:val="16"/>
          <w:szCs w:val="16"/>
          <w:color w:val="auto"/>
        </w:rPr>
      </w:pPr>
    </w:p>
    <w:p>
      <w:pPr>
        <w:jc w:val="both"/>
        <w:ind w:left="1020" w:right="20" w:hanging="516"/>
        <w:spacing w:after="0"/>
        <w:tabs>
          <w:tab w:leader="none" w:pos="102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Net loss was $2.3 million, or $0.12 per share, which includes $1.8 million in gain on foreign currency transaction, compared to a net loss of $16.8 million, or $0.92 per share, for the third quarter of fiscal 2025. Adjusted Net Loss* was $3.8 million, which excludes $1.5 million in net gain on foreign currency transaction, compared to Adjusted Net Loss of $13.9 million for the prior year period, which excluded $2.9 million of manufacturing footprint reduction costs.</w:t>
      </w:r>
    </w:p>
    <w:p>
      <w:pPr>
        <w:spacing w:after="0" w:line="43"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Adjusted EBITDA* was $4.0 million, compared to $(4.9) million for the third quarter of fiscal 2025.</w:t>
      </w:r>
    </w:p>
    <w:p>
      <w:pPr>
        <w:spacing w:after="0" w:line="75"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Published “Sustainability Snapshot” and related goals that highlights significant progress in textile-to-textile recycling.</w:t>
      </w:r>
    </w:p>
    <w:p>
      <w:pPr>
        <w:spacing w:after="0" w:line="75"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Announced the launch of Luxel™, a linen-inspired, easy-care performance yarn.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855345</wp:posOffset>
            </wp:positionV>
            <wp:extent cx="717486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4" w:name="page5"/>
    <w:bookmarkEnd w:id="4"/>
    <w:p>
      <w:pPr>
        <w:spacing w:after="0" w:line="3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449580</wp:posOffset>
            </wp:positionV>
            <wp:extent cx="1081405" cy="4057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081405" cy="405765"/>
                    </a:xfrm>
                    <a:prstGeom prst="rect">
                      <a:avLst/>
                    </a:prstGeom>
                    <a:noFill/>
                  </pic:spPr>
                </pic:pic>
              </a:graphicData>
            </a:graphic>
          </wp:anchor>
        </w:drawing>
      </w:r>
    </w:p>
    <w:p>
      <w:pPr>
        <w:jc w:val="both"/>
        <w:ind w:left="5" w:right="20"/>
        <w:spacing w:after="0" w:line="239" w:lineRule="auto"/>
        <w:rPr>
          <w:sz w:val="20"/>
          <w:szCs w:val="20"/>
          <w:color w:val="auto"/>
        </w:rPr>
      </w:pPr>
      <w:r>
        <w:rPr>
          <w:rFonts w:ascii="Arial" w:cs="Arial" w:eastAsia="Arial" w:hAnsi="Arial"/>
          <w:sz w:val="16"/>
          <w:szCs w:val="16"/>
          <w:color w:val="auto"/>
        </w:rPr>
        <w:t>Eddie Ingle, Chief Executive Officer of Unifi, Inc., stated, “We are pleased to report that the impact of our team’s hard work is beginning to translate into improved financial performance, highlighted by improved gross profit and debt reduction. These results were driven by the actions we have taken over the past several quarters to realign our cost structure and optimize our operations, and give us confidence that we can generate stronger profitability and cash flow from a lower revenue base moving forward. In addition, we remain focused on partnering with our global customers to deliver innovative solutions to address their evolving needs, which will serve us well in supporting sustainable, long-term market and business growth.”</w:t>
      </w:r>
    </w:p>
    <w:p>
      <w:pPr>
        <w:spacing w:after="0" w:line="134" w:lineRule="exact"/>
        <w:rPr>
          <w:sz w:val="20"/>
          <w:szCs w:val="20"/>
          <w:color w:val="auto"/>
        </w:rPr>
      </w:pPr>
    </w:p>
    <w:p>
      <w:pPr>
        <w:ind w:left="5"/>
        <w:spacing w:after="0"/>
        <w:rPr>
          <w:sz w:val="20"/>
          <w:szCs w:val="20"/>
          <w:color w:val="auto"/>
        </w:rPr>
      </w:pPr>
      <w:r>
        <w:rPr>
          <w:rFonts w:ascii="Arial" w:cs="Arial" w:eastAsia="Arial" w:hAnsi="Arial"/>
          <w:sz w:val="16"/>
          <w:szCs w:val="16"/>
          <w:b w:val="1"/>
          <w:bCs w:val="1"/>
          <w:u w:val="single" w:color="auto"/>
          <w:color w:val="auto"/>
        </w:rPr>
        <w:t>Third Quarter Fiscal 2026 Compared to Third Quarter Fiscal 2025</w:t>
      </w:r>
    </w:p>
    <w:p>
      <w:pPr>
        <w:spacing w:after="0" w:line="173" w:lineRule="exact"/>
        <w:rPr>
          <w:sz w:val="20"/>
          <w:szCs w:val="20"/>
          <w:color w:val="auto"/>
        </w:rPr>
      </w:pPr>
    </w:p>
    <w:p>
      <w:pPr>
        <w:jc w:val="both"/>
        <w:ind w:left="5" w:right="20"/>
        <w:spacing w:after="0" w:line="260" w:lineRule="auto"/>
        <w:rPr>
          <w:sz w:val="20"/>
          <w:szCs w:val="20"/>
          <w:color w:val="auto"/>
        </w:rPr>
      </w:pPr>
      <w:r>
        <w:rPr>
          <w:rFonts w:ascii="Arial" w:cs="Arial" w:eastAsia="Arial" w:hAnsi="Arial"/>
          <w:sz w:val="16"/>
          <w:szCs w:val="16"/>
          <w:color w:val="auto"/>
        </w:rPr>
        <w:t>Net sales decreased to $130.0 million from $146.6 million, primarily due to lower customer ordering patterns stemming from geopolitical, trade, and tariff-related uncertainty.</w:t>
      </w:r>
    </w:p>
    <w:p>
      <w:pPr>
        <w:spacing w:after="0" w:line="74" w:lineRule="exact"/>
        <w:rPr>
          <w:sz w:val="20"/>
          <w:szCs w:val="20"/>
          <w:color w:val="auto"/>
        </w:rPr>
      </w:pPr>
    </w:p>
    <w:p>
      <w:pPr>
        <w:jc w:val="both"/>
        <w:ind w:left="5" w:right="20"/>
        <w:spacing w:after="0" w:line="246" w:lineRule="auto"/>
        <w:rPr>
          <w:sz w:val="20"/>
          <w:szCs w:val="20"/>
          <w:color w:val="auto"/>
        </w:rPr>
      </w:pPr>
      <w:r>
        <w:rPr>
          <w:rFonts w:ascii="Arial" w:cs="Arial" w:eastAsia="Arial" w:hAnsi="Arial"/>
          <w:sz w:val="16"/>
          <w:szCs w:val="16"/>
          <w:color w:val="auto"/>
        </w:rPr>
        <w:t>Gross profit increased to $9.1 million from $ (0.4) million. Americas Segment gross profit increased by $10.6 million, primarily from the multi-year cost reduction efforts, partially offset by lower sales. Brazil Segment gross profit decreased by $0.2 million, primarily due to import pricing pressures. Asia Segment gross profit decreased by $0.8 million, primarily due to lower sales volumes.</w:t>
      </w:r>
    </w:p>
    <w:p>
      <w:pPr>
        <w:spacing w:after="0" w:line="97" w:lineRule="exact"/>
        <w:rPr>
          <w:sz w:val="20"/>
          <w:szCs w:val="20"/>
          <w:color w:val="auto"/>
        </w:rPr>
      </w:pPr>
    </w:p>
    <w:p>
      <w:pPr>
        <w:jc w:val="both"/>
        <w:ind w:left="5"/>
        <w:spacing w:after="0" w:line="241" w:lineRule="auto"/>
        <w:rPr>
          <w:sz w:val="20"/>
          <w:szCs w:val="20"/>
          <w:color w:val="auto"/>
        </w:rPr>
      </w:pPr>
      <w:r>
        <w:rPr>
          <w:rFonts w:ascii="Arial" w:cs="Arial" w:eastAsia="Arial" w:hAnsi="Arial"/>
          <w:sz w:val="16"/>
          <w:szCs w:val="16"/>
          <w:color w:val="auto"/>
        </w:rPr>
        <w:t>Operating loss improved to $0.1 million from $13.9 million. The change was primarily due to higher gross profit, lower SG&amp;A, and gain on foreign currency transaction. Net loss was $2.3 million compared to a net loss of $16.8 million. Adjusted Net Loss* was $3.8 million, which excludes $1.5 million in net gain on foreign currency transaction, compared to Adjusted Net Loss of $13.9 million. Adjusted EBITDA* was $4.0 million, which excludes the net foreign currency transaction, compared to $(4.9) million.</w:t>
      </w:r>
    </w:p>
    <w:p>
      <w:pPr>
        <w:spacing w:after="0" w:line="122" w:lineRule="exact"/>
        <w:rPr>
          <w:sz w:val="20"/>
          <w:szCs w:val="20"/>
          <w:color w:val="auto"/>
        </w:rPr>
      </w:pPr>
    </w:p>
    <w:p>
      <w:pPr>
        <w:ind w:left="5"/>
        <w:spacing w:after="0"/>
        <w:rPr>
          <w:sz w:val="20"/>
          <w:szCs w:val="20"/>
          <w:color w:val="auto"/>
        </w:rPr>
      </w:pPr>
      <w:r>
        <w:rPr>
          <w:rFonts w:ascii="Arial" w:cs="Arial" w:eastAsia="Arial" w:hAnsi="Arial"/>
          <w:sz w:val="16"/>
          <w:szCs w:val="16"/>
          <w:b w:val="1"/>
          <w:bCs w:val="1"/>
          <w:u w:val="single" w:color="auto"/>
          <w:color w:val="auto"/>
        </w:rPr>
        <w:t>Outlook</w:t>
      </w:r>
    </w:p>
    <w:p>
      <w:pPr>
        <w:spacing w:after="0" w:line="126" w:lineRule="exact"/>
        <w:rPr>
          <w:sz w:val="20"/>
          <w:szCs w:val="20"/>
          <w:color w:val="auto"/>
        </w:rPr>
      </w:pPr>
    </w:p>
    <w:p>
      <w:pPr>
        <w:jc w:val="both"/>
        <w:ind w:left="5" w:right="20"/>
        <w:spacing w:after="0" w:line="246" w:lineRule="auto"/>
        <w:rPr>
          <w:sz w:val="20"/>
          <w:szCs w:val="20"/>
          <w:color w:val="auto"/>
        </w:rPr>
      </w:pPr>
      <w:r>
        <w:rPr>
          <w:rFonts w:ascii="Arial" w:cs="Arial" w:eastAsia="Arial" w:hAnsi="Arial"/>
          <w:sz w:val="16"/>
          <w:szCs w:val="16"/>
          <w:color w:val="auto"/>
        </w:rPr>
        <w:t>UNIFI will continue to focus on leveraging its improved cost footprint while investing in innovation and strategically managing the balance sheet to ensure that the Company is better positioned to capitalize and grow as business conditions improve. Results for the fourth quarter of fiscal 2026 will include responsive price increases associated with petrochemical-related inflation.</w:t>
      </w:r>
    </w:p>
    <w:p>
      <w:pPr>
        <w:spacing w:after="0" w:line="97" w:lineRule="exact"/>
        <w:rPr>
          <w:sz w:val="20"/>
          <w:szCs w:val="20"/>
          <w:color w:val="auto"/>
        </w:rPr>
      </w:pPr>
    </w:p>
    <w:p>
      <w:pPr>
        <w:jc w:val="both"/>
        <w:ind w:left="5"/>
        <w:spacing w:after="0" w:line="241" w:lineRule="auto"/>
        <w:rPr>
          <w:sz w:val="20"/>
          <w:szCs w:val="20"/>
          <w:color w:val="auto"/>
        </w:rPr>
      </w:pPr>
      <w:r>
        <w:rPr>
          <w:rFonts w:ascii="Arial" w:cs="Arial" w:eastAsia="Arial" w:hAnsi="Arial"/>
          <w:sz w:val="16"/>
          <w:szCs w:val="16"/>
          <w:color w:val="auto"/>
        </w:rPr>
        <w:t>Ingle concluded, “As we enter the fourth quarter and look towards the remainder of calendar year 2026, we are encouraged by the momentum we are seeing across our businesses. Our innovative beyond apparel business is continuing to gain traction, which should help support improved financial results. We also anticipate the need to support higher working capital levels to accommodate demand and petrochemical-related inflation. While the business is in a stronger position today than it has been in some time, we remain focused on driving sustained financial improvement and long-term shareholder value.”</w:t>
      </w:r>
    </w:p>
    <w:p>
      <w:pPr>
        <w:spacing w:after="0" w:line="119" w:lineRule="exact"/>
        <w:rPr>
          <w:sz w:val="20"/>
          <w:szCs w:val="20"/>
          <w:color w:val="auto"/>
        </w:rPr>
      </w:pPr>
    </w:p>
    <w:p>
      <w:pPr>
        <w:ind w:left="5" w:hanging="5"/>
        <w:spacing w:after="0" w:line="230" w:lineRule="auto"/>
        <w:tabs>
          <w:tab w:leader="none" w:pos="254" w:val="left"/>
        </w:tabs>
        <w:numPr>
          <w:ilvl w:val="0"/>
          <w:numId w:val="4"/>
        </w:numPr>
        <w:rPr>
          <w:rFonts w:ascii="Arial" w:cs="Arial" w:eastAsia="Arial" w:hAnsi="Arial"/>
          <w:sz w:val="16"/>
          <w:szCs w:val="16"/>
          <w:color w:val="auto"/>
        </w:rPr>
      </w:pPr>
      <w:r>
        <w:rPr>
          <w:rFonts w:ascii="Arial" w:cs="Arial" w:eastAsia="Arial" w:hAnsi="Arial"/>
          <w:sz w:val="13"/>
          <w:szCs w:val="13"/>
          <w:color w:val="auto"/>
        </w:rPr>
        <w:t>Adjusted Net Loss, Adjusted EBITDA, and Net Debt are non-GAAP financial measures. The schedules included in this press release reconcile each non-GAAP financial measure to its most directly comparable GAAP financial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713105</wp:posOffset>
            </wp:positionV>
            <wp:extent cx="7174865"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440" w:right="31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449580</wp:posOffset>
            </wp:positionV>
            <wp:extent cx="1081405" cy="4057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081405" cy="405765"/>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Third Quarter Fiscal 2026 Earnings Conference Call</w:t>
      </w:r>
    </w:p>
    <w:p>
      <w:pPr>
        <w:spacing w:after="0" w:line="149" w:lineRule="exact"/>
        <w:rPr>
          <w:sz w:val="20"/>
          <w:szCs w:val="20"/>
          <w:color w:val="auto"/>
        </w:rPr>
      </w:pPr>
    </w:p>
    <w:p>
      <w:pPr>
        <w:ind w:right="380"/>
        <w:spacing w:after="0" w:line="246" w:lineRule="auto"/>
        <w:rPr>
          <w:sz w:val="20"/>
          <w:szCs w:val="20"/>
          <w:color w:val="auto"/>
        </w:rPr>
      </w:pPr>
      <w:r>
        <w:rPr>
          <w:rFonts w:ascii="Arial" w:cs="Arial" w:eastAsia="Arial" w:hAnsi="Arial"/>
          <w:sz w:val="16"/>
          <w:szCs w:val="16"/>
          <w:color w:val="auto"/>
        </w:rPr>
        <w:t>UNIFI will provide additional commentary regarding its third quarter fiscal 2026 results and other developments during its earnings conference call on May 6, 2026, at 9:00 a.m., Eastern Time. The call can be accessed via a live audio webcast on UNIFI’s website at http://investor.unifi.com. Additional supporting materials and information related to the call will also be available on UNIFI’s website.</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About UNIFI</w:t>
      </w:r>
    </w:p>
    <w:p>
      <w:pPr>
        <w:spacing w:after="0" w:line="185"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 xml:space="preserve">UNIFI, Inc. (NYSE: UFI) is a global leader in fiber science and sustainable synthetic textiles. Using proprietary recycling technology, UNIFI is a pioneer in scaling the transformation of post-industrial and post-consumer waste into sustainable products. Through REPREVE, the world’s leading brand of traceable, recycled fiber and resin, UNIFI is changing the way industries think about the materials they use – and reuse. A vertically-integrated manufacturer, the company has direct operations in the United States, Colombia, El Salvador, and Brazil, and sales offices all over the world. UNIFI envisions a future where circular and sustainable solutions are the only choice. For more information about UNIFI, visit </w:t>
      </w:r>
      <w:r>
        <w:rPr>
          <w:rFonts w:ascii="Arial" w:cs="Arial" w:eastAsia="Arial" w:hAnsi="Arial"/>
          <w:sz w:val="16"/>
          <w:szCs w:val="16"/>
          <w:u w:val="single" w:color="auto"/>
          <w:color w:val="0000FF"/>
        </w:rPr>
        <w:t>www.unifi.com</w:t>
      </w:r>
      <w:r>
        <w:rPr>
          <w:rFonts w:ascii="Arial" w:cs="Arial" w:eastAsia="Arial" w:hAnsi="Arial"/>
          <w:sz w:val="16"/>
          <w:szCs w:val="16"/>
          <w:color w:val="auto"/>
        </w:rPr>
        <w:t>.</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About REPREVE</w:t>
      </w:r>
      <w:r>
        <w:rPr>
          <w:rFonts w:ascii="Arial" w:cs="Arial" w:eastAsia="Arial" w:hAnsi="Arial"/>
          <w:sz w:val="21"/>
          <w:szCs w:val="21"/>
          <w:b w:val="1"/>
          <w:bCs w:val="1"/>
          <w:u w:val="single" w:color="auto"/>
          <w:color w:val="auto"/>
          <w:vertAlign w:val="superscript"/>
        </w:rPr>
        <w:t>®</w:t>
      </w:r>
    </w:p>
    <w:p>
      <w:pPr>
        <w:spacing w:after="0" w:line="145" w:lineRule="exact"/>
        <w:rPr>
          <w:sz w:val="20"/>
          <w:szCs w:val="20"/>
          <w:color w:val="auto"/>
        </w:rPr>
      </w:pPr>
    </w:p>
    <w:p>
      <w:pPr>
        <w:jc w:val="both"/>
        <w:ind w:right="20"/>
        <w:spacing w:after="0" w:line="239" w:lineRule="auto"/>
        <w:rPr>
          <w:sz w:val="20"/>
          <w:szCs w:val="20"/>
          <w:color w:val="auto"/>
        </w:rPr>
      </w:pPr>
      <w:r>
        <w:rPr>
          <w:rFonts w:ascii="Arial" w:cs="Arial" w:eastAsia="Arial" w:hAnsi="Arial"/>
          <w:sz w:val="16"/>
          <w:szCs w:val="16"/>
          <w:color w:val="auto"/>
        </w:rPr>
        <w:t>Made by UNIFI, Inc. (NYSE: UFI), REPREVE® is the global leader in recycled performance fibers and resins. Using proprietary recycling technology, REPREVE leverages multiple waste sources, including single-use plastic bottles, ocean -bound plastic, textile waste, and recycled yarn. REPREVE has transformed more than 46 billion plastic bottles and 1 billion T-shirts’ worth of textile waste into recycled fiber, powering globally scalable products for world-leading brands. Made traceable with FiberPrint® technology and certified by U-TRUST®, REPREVE spans apparel, footwear, furnishings, industrial, medical, military, mobility, and packaging. For more information about REPREVE, visit www.repreve.com.</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Contact information:</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Chris Hodges or Josh Carroll</w:t>
      </w:r>
    </w:p>
    <w:p>
      <w:pPr>
        <w:spacing w:after="0" w:line="231" w:lineRule="auto"/>
        <w:rPr>
          <w:sz w:val="20"/>
          <w:szCs w:val="20"/>
          <w:color w:val="auto"/>
        </w:rPr>
      </w:pPr>
      <w:r>
        <w:rPr>
          <w:rFonts w:ascii="Arial" w:cs="Arial" w:eastAsia="Arial" w:hAnsi="Arial"/>
          <w:sz w:val="16"/>
          <w:szCs w:val="16"/>
          <w:color w:val="auto"/>
        </w:rPr>
        <w:t>Alpha IR Group</w:t>
      </w:r>
    </w:p>
    <w:p>
      <w:pPr>
        <w:spacing w:after="0" w:line="231" w:lineRule="auto"/>
        <w:rPr>
          <w:sz w:val="20"/>
          <w:szCs w:val="20"/>
          <w:color w:val="auto"/>
        </w:rPr>
      </w:pPr>
      <w:r>
        <w:rPr>
          <w:rFonts w:ascii="Arial" w:cs="Arial" w:eastAsia="Arial" w:hAnsi="Arial"/>
          <w:sz w:val="16"/>
          <w:szCs w:val="16"/>
          <w:color w:val="auto"/>
        </w:rPr>
        <w:t>312-445-2870</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UFI@alpha-ir.com</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Financial Statements, Business Segment Information and Reconciliations of Reported Results to Adjusted Results to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1066165</wp:posOffset>
            </wp:positionV>
            <wp:extent cx="7174865"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6" w:name="page7"/>
    <w:bookmarkEnd w:id="6"/>
    <w:p>
      <w:pPr>
        <w:spacing w:after="0" w:line="32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449580</wp:posOffset>
            </wp:positionV>
            <wp:extent cx="1081405" cy="4057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081405" cy="40576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3"/>
          <w:szCs w:val="13"/>
          <w:b w:val="1"/>
          <w:bCs w:val="1"/>
          <w:color w:val="auto"/>
        </w:rPr>
        <w:t>CONDENSED CONSOLIDATED STATEMENTS OF OPERATIONS</w:t>
      </w:r>
    </w:p>
    <w:p>
      <w:pPr>
        <w:jc w:val="center"/>
        <w:ind w:right="20"/>
        <w:spacing w:after="0" w:line="234" w:lineRule="auto"/>
        <w:rPr>
          <w:sz w:val="20"/>
          <w:szCs w:val="20"/>
          <w:color w:val="auto"/>
        </w:rPr>
      </w:pPr>
      <w:r>
        <w:rPr>
          <w:rFonts w:ascii="Arial" w:cs="Arial" w:eastAsia="Arial" w:hAnsi="Arial"/>
          <w:sz w:val="13"/>
          <w:szCs w:val="13"/>
          <w:b w:val="1"/>
          <w:bCs w:val="1"/>
          <w:color w:val="auto"/>
        </w:rPr>
        <w:t>(Unaudited)</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(In thousands, except per share amounts)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80" w:type="dxa"/>
            <w:vAlign w:val="bottom"/>
            <w:gridSpan w:val="5"/>
          </w:tcPr>
          <w:p>
            <w:pPr>
              <w:jc w:val="right"/>
              <w:ind w:right="1060"/>
              <w:spacing w:after="0"/>
              <w:rPr>
                <w:sz w:val="20"/>
                <w:szCs w:val="20"/>
                <w:color w:val="auto"/>
              </w:rPr>
            </w:pPr>
            <w:r>
              <w:rPr>
                <w:rFonts w:ascii="Arial" w:cs="Arial" w:eastAsia="Arial" w:hAnsi="Arial"/>
                <w:sz w:val="13"/>
                <w:szCs w:val="13"/>
                <w:b w:val="1"/>
                <w:bCs w:val="1"/>
                <w:color w:val="auto"/>
              </w:rPr>
              <w:t>For the Three Months Ended</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40" w:type="dxa"/>
            <w:vAlign w:val="bottom"/>
            <w:gridSpan w:val="6"/>
          </w:tcPr>
          <w:p>
            <w:pPr>
              <w:jc w:val="right"/>
              <w:ind w:right="1080"/>
              <w:spacing w:after="0"/>
              <w:rPr>
                <w:sz w:val="20"/>
                <w:szCs w:val="20"/>
                <w:color w:val="auto"/>
              </w:rPr>
            </w:pPr>
            <w:r>
              <w:rPr>
                <w:rFonts w:ascii="Arial" w:cs="Arial" w:eastAsia="Arial" w:hAnsi="Arial"/>
                <w:sz w:val="13"/>
                <w:szCs w:val="13"/>
                <w:b w:val="1"/>
                <w:bCs w:val="1"/>
                <w:color w:val="auto"/>
              </w:rPr>
              <w:t>For the Nine Months Ended</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1440" w:type="dxa"/>
            <w:vAlign w:val="bottom"/>
            <w:tcBorders>
              <w:top w:val="single" w:sz="8" w:color="auto"/>
              <w:bottom w:val="single" w:sz="8" w:color="auto"/>
            </w:tcBorders>
          </w:tcPr>
          <w:p>
            <w:pPr>
              <w:jc w:val="right"/>
              <w:ind w:right="317"/>
              <w:spacing w:after="0" w:line="134" w:lineRule="exact"/>
              <w:rPr>
                <w:sz w:val="20"/>
                <w:szCs w:val="20"/>
                <w:color w:val="auto"/>
              </w:rPr>
            </w:pPr>
            <w:r>
              <w:rPr>
                <w:rFonts w:ascii="Arial" w:cs="Arial" w:eastAsia="Arial" w:hAnsi="Arial"/>
                <w:sz w:val="13"/>
                <w:szCs w:val="13"/>
                <w:b w:val="1"/>
                <w:bCs w:val="1"/>
                <w:color w:val="auto"/>
              </w:rPr>
              <w:t>March 29, 2026</w:t>
            </w:r>
          </w:p>
        </w:tc>
        <w:tc>
          <w:tcPr>
            <w:tcW w:w="260" w:type="dxa"/>
            <w:vAlign w:val="bottom"/>
            <w:tcBorders>
              <w:top w:val="single" w:sz="8" w:color="auto"/>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1420" w:type="dxa"/>
            <w:vAlign w:val="bottom"/>
            <w:tcBorders>
              <w:top w:val="single" w:sz="8" w:color="auto"/>
              <w:bottom w:val="single" w:sz="8" w:color="auto"/>
            </w:tcBorders>
          </w:tcPr>
          <w:p>
            <w:pPr>
              <w:jc w:val="right"/>
              <w:ind w:right="317"/>
              <w:spacing w:after="0" w:line="134" w:lineRule="exact"/>
              <w:rPr>
                <w:sz w:val="20"/>
                <w:szCs w:val="20"/>
                <w:color w:val="auto"/>
              </w:rPr>
            </w:pPr>
            <w:r>
              <w:rPr>
                <w:rFonts w:ascii="Arial" w:cs="Arial" w:eastAsia="Arial" w:hAnsi="Arial"/>
                <w:sz w:val="13"/>
                <w:szCs w:val="13"/>
                <w:b w:val="1"/>
                <w:bCs w:val="1"/>
                <w:color w:val="auto"/>
              </w:rPr>
              <w:t>March 30, 2025</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1420" w:type="dxa"/>
            <w:vAlign w:val="bottom"/>
            <w:tcBorders>
              <w:top w:val="single" w:sz="8" w:color="auto"/>
              <w:bottom w:val="single" w:sz="8" w:color="auto"/>
            </w:tcBorders>
          </w:tcPr>
          <w:p>
            <w:pPr>
              <w:jc w:val="right"/>
              <w:ind w:right="317"/>
              <w:spacing w:after="0" w:line="134" w:lineRule="exact"/>
              <w:rPr>
                <w:sz w:val="20"/>
                <w:szCs w:val="20"/>
                <w:color w:val="auto"/>
              </w:rPr>
            </w:pPr>
            <w:r>
              <w:rPr>
                <w:rFonts w:ascii="Arial" w:cs="Arial" w:eastAsia="Arial" w:hAnsi="Arial"/>
                <w:sz w:val="13"/>
                <w:szCs w:val="13"/>
                <w:b w:val="1"/>
                <w:bCs w:val="1"/>
                <w:color w:val="auto"/>
              </w:rPr>
              <w:t>March 29, 2026</w:t>
            </w: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1420" w:type="dxa"/>
            <w:vAlign w:val="bottom"/>
            <w:tcBorders>
              <w:top w:val="single" w:sz="8" w:color="auto"/>
              <w:bottom w:val="single" w:sz="8" w:color="auto"/>
            </w:tcBorders>
          </w:tcPr>
          <w:p>
            <w:pPr>
              <w:jc w:val="right"/>
              <w:ind w:right="317"/>
              <w:spacing w:after="0" w:line="134" w:lineRule="exact"/>
              <w:rPr>
                <w:sz w:val="20"/>
                <w:szCs w:val="20"/>
                <w:color w:val="auto"/>
              </w:rPr>
            </w:pPr>
            <w:r>
              <w:rPr>
                <w:rFonts w:ascii="Arial" w:cs="Arial" w:eastAsia="Arial" w:hAnsi="Arial"/>
                <w:sz w:val="13"/>
                <w:szCs w:val="13"/>
                <w:b w:val="1"/>
                <w:bCs w:val="1"/>
                <w:color w:val="auto"/>
              </w:rPr>
              <w:t>March 30, 2025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78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Net sales</w:t>
            </w:r>
          </w:p>
        </w:tc>
        <w:tc>
          <w:tcPr>
            <w:tcW w:w="200" w:type="dxa"/>
            <w:vAlign w:val="bottom"/>
            <w:shd w:val="clear" w:color="auto" w:fill="CFF0FC"/>
          </w:tcPr>
          <w:p>
            <w:pPr>
              <w:jc w:val="right"/>
              <w:ind w:right="93"/>
              <w:spacing w:after="0"/>
              <w:rPr>
                <w:sz w:val="20"/>
                <w:szCs w:val="20"/>
                <w:color w:val="auto"/>
              </w:rPr>
            </w:pPr>
            <w:r>
              <w:rPr>
                <w:rFonts w:ascii="Arial" w:cs="Arial" w:eastAsia="Arial" w:hAnsi="Arial"/>
                <w:sz w:val="9"/>
                <w:szCs w:val="9"/>
                <w:color w:val="auto"/>
                <w:w w:val="78"/>
              </w:rPr>
              <w:t>$</w:t>
            </w:r>
          </w:p>
        </w:tc>
        <w:tc>
          <w:tcPr>
            <w:tcW w:w="144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130,037</w:t>
            </w:r>
          </w:p>
        </w:tc>
        <w:tc>
          <w:tcPr>
            <w:tcW w:w="260" w:type="dxa"/>
            <w:vAlign w:val="bottom"/>
            <w:shd w:val="clear" w:color="auto" w:fill="CFF0FC"/>
          </w:tcPr>
          <w:p>
            <w:pPr>
              <w:spacing w:after="0"/>
              <w:rPr>
                <w:sz w:val="11"/>
                <w:szCs w:val="11"/>
                <w:color w:val="auto"/>
              </w:rPr>
            </w:pPr>
          </w:p>
        </w:tc>
        <w:tc>
          <w:tcPr>
            <w:tcW w:w="220" w:type="dxa"/>
            <w:vAlign w:val="bottom"/>
            <w:shd w:val="clear" w:color="auto" w:fill="CFF0FC"/>
          </w:tcPr>
          <w:p>
            <w:pPr>
              <w:jc w:val="right"/>
              <w:ind w:right="113"/>
              <w:spacing w:after="0"/>
              <w:rPr>
                <w:sz w:val="20"/>
                <w:szCs w:val="20"/>
                <w:color w:val="auto"/>
              </w:rPr>
            </w:pPr>
            <w:r>
              <w:rPr>
                <w:rFonts w:ascii="Arial" w:cs="Arial" w:eastAsia="Arial" w:hAnsi="Arial"/>
                <w:sz w:val="9"/>
                <w:szCs w:val="9"/>
                <w:color w:val="auto"/>
                <w:w w:val="78"/>
              </w:rPr>
              <w:t>$</w:t>
            </w:r>
          </w:p>
        </w:tc>
        <w:tc>
          <w:tcPr>
            <w:tcW w:w="142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146,557</w:t>
            </w:r>
          </w:p>
        </w:tc>
        <w:tc>
          <w:tcPr>
            <w:tcW w:w="140" w:type="dxa"/>
            <w:vAlign w:val="bottom"/>
            <w:shd w:val="clear" w:color="auto" w:fill="CFF0FC"/>
          </w:tcPr>
          <w:p>
            <w:pPr>
              <w:spacing w:after="0"/>
              <w:rPr>
                <w:sz w:val="11"/>
                <w:szCs w:val="11"/>
                <w:color w:val="auto"/>
              </w:rPr>
            </w:pPr>
          </w:p>
        </w:tc>
        <w:tc>
          <w:tcPr>
            <w:tcW w:w="340" w:type="dxa"/>
            <w:vAlign w:val="bottom"/>
            <w:gridSpan w:val="2"/>
            <w:shd w:val="clear" w:color="auto" w:fill="CFF0FC"/>
          </w:tcPr>
          <w:p>
            <w:pPr>
              <w:jc w:val="right"/>
              <w:ind w:right="113"/>
              <w:spacing w:after="0" w:line="134" w:lineRule="exact"/>
              <w:rPr>
                <w:sz w:val="20"/>
                <w:szCs w:val="20"/>
                <w:color w:val="auto"/>
              </w:rPr>
            </w:pPr>
            <w:r>
              <w:rPr>
                <w:rFonts w:ascii="Arial" w:cs="Arial" w:eastAsia="Arial" w:hAnsi="Arial"/>
                <w:sz w:val="13"/>
                <w:szCs w:val="13"/>
                <w:color w:val="auto"/>
              </w:rPr>
              <w:t>$</w:t>
            </w:r>
          </w:p>
        </w:tc>
        <w:tc>
          <w:tcPr>
            <w:tcW w:w="142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387,079</w:t>
            </w:r>
          </w:p>
        </w:tc>
        <w:tc>
          <w:tcPr>
            <w:tcW w:w="160" w:type="dxa"/>
            <w:vAlign w:val="bottom"/>
            <w:shd w:val="clear" w:color="auto" w:fill="CFF0FC"/>
          </w:tcPr>
          <w:p>
            <w:pPr>
              <w:spacing w:after="0"/>
              <w:rPr>
                <w:sz w:val="11"/>
                <w:szCs w:val="11"/>
                <w:color w:val="auto"/>
              </w:rPr>
            </w:pPr>
          </w:p>
        </w:tc>
        <w:tc>
          <w:tcPr>
            <w:tcW w:w="320" w:type="dxa"/>
            <w:vAlign w:val="bottom"/>
            <w:gridSpan w:val="2"/>
            <w:shd w:val="clear" w:color="auto" w:fill="CFF0FC"/>
          </w:tcPr>
          <w:p>
            <w:pPr>
              <w:jc w:val="right"/>
              <w:ind w:right="77"/>
              <w:spacing w:after="0" w:line="134" w:lineRule="exact"/>
              <w:rPr>
                <w:sz w:val="20"/>
                <w:szCs w:val="20"/>
                <w:color w:val="auto"/>
              </w:rPr>
            </w:pPr>
            <w:r>
              <w:rPr>
                <w:rFonts w:ascii="Arial" w:cs="Arial" w:eastAsia="Arial" w:hAnsi="Arial"/>
                <w:sz w:val="13"/>
                <w:szCs w:val="13"/>
                <w:color w:val="auto"/>
              </w:rPr>
              <w:t>$</w:t>
            </w:r>
          </w:p>
        </w:tc>
        <w:tc>
          <w:tcPr>
            <w:tcW w:w="142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432,809</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800" w:type="dxa"/>
            <w:vAlign w:val="bottom"/>
            <w:gridSpan w:val="2"/>
          </w:tcPr>
          <w:p>
            <w:pPr>
              <w:spacing w:after="0" w:line="142" w:lineRule="exact"/>
              <w:rPr>
                <w:sz w:val="20"/>
                <w:szCs w:val="20"/>
                <w:color w:val="auto"/>
              </w:rPr>
            </w:pPr>
            <w:r>
              <w:rPr>
                <w:rFonts w:ascii="Arial" w:cs="Arial" w:eastAsia="Arial" w:hAnsi="Arial"/>
                <w:sz w:val="13"/>
                <w:szCs w:val="13"/>
                <w:color w:val="auto"/>
              </w:rPr>
              <w:t>Cost of sales</w:t>
            </w:r>
          </w:p>
        </w:tc>
        <w:tc>
          <w:tcPr>
            <w:tcW w:w="20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120,920</w:t>
            </w:r>
          </w:p>
        </w:tc>
        <w:tc>
          <w:tcPr>
            <w:tcW w:w="2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147,002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370,964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423,262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78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Gross profit (loss)</w:t>
            </w:r>
          </w:p>
        </w:tc>
        <w:tc>
          <w:tcPr>
            <w:tcW w:w="200" w:type="dxa"/>
            <w:vAlign w:val="bottom"/>
            <w:shd w:val="clear" w:color="auto" w:fill="CFF0FC"/>
          </w:tcPr>
          <w:p>
            <w:pPr>
              <w:spacing w:after="0"/>
              <w:rPr>
                <w:sz w:val="11"/>
                <w:szCs w:val="11"/>
                <w:color w:val="auto"/>
              </w:rPr>
            </w:pPr>
          </w:p>
        </w:tc>
        <w:tc>
          <w:tcPr>
            <w:tcW w:w="144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9,117</w:t>
            </w:r>
          </w:p>
        </w:tc>
        <w:tc>
          <w:tcPr>
            <w:tcW w:w="2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560" w:type="dxa"/>
            <w:vAlign w:val="bottom"/>
            <w:gridSpan w:val="2"/>
            <w:shd w:val="clear" w:color="auto" w:fill="CFF0FC"/>
          </w:tcPr>
          <w:p>
            <w:pPr>
              <w:jc w:val="right"/>
              <w:ind w:right="100"/>
              <w:spacing w:after="0" w:line="134" w:lineRule="exact"/>
              <w:rPr>
                <w:sz w:val="20"/>
                <w:szCs w:val="20"/>
                <w:color w:val="auto"/>
              </w:rPr>
            </w:pPr>
            <w:r>
              <w:rPr>
                <w:rFonts w:ascii="Arial" w:cs="Arial" w:eastAsia="Arial" w:hAnsi="Arial"/>
                <w:sz w:val="13"/>
                <w:szCs w:val="13"/>
                <w:color w:val="auto"/>
              </w:rPr>
              <w:t>(445)</w:t>
            </w:r>
          </w:p>
        </w:tc>
        <w:tc>
          <w:tcPr>
            <w:tcW w:w="1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2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16,115</w:t>
            </w: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2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9,547</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80" w:type="dxa"/>
            <w:vAlign w:val="bottom"/>
          </w:tcPr>
          <w:p>
            <w:pPr>
              <w:spacing w:after="0" w:line="142" w:lineRule="exact"/>
              <w:rPr>
                <w:sz w:val="20"/>
                <w:szCs w:val="20"/>
                <w:color w:val="auto"/>
              </w:rPr>
            </w:pPr>
            <w:r>
              <w:rPr>
                <w:rFonts w:ascii="Arial" w:cs="Arial" w:eastAsia="Arial" w:hAnsi="Arial"/>
                <w:sz w:val="13"/>
                <w:szCs w:val="13"/>
                <w:color w:val="auto"/>
              </w:rPr>
              <w:t>Selling, general and administrative expenses</w:t>
            </w:r>
          </w:p>
        </w:tc>
        <w:tc>
          <w:tcPr>
            <w:tcW w:w="200" w:type="dxa"/>
            <w:vAlign w:val="bottom"/>
          </w:tcPr>
          <w:p>
            <w:pPr>
              <w:spacing w:after="0"/>
              <w:rPr>
                <w:sz w:val="12"/>
                <w:szCs w:val="12"/>
                <w:color w:val="auto"/>
              </w:rPr>
            </w:pPr>
          </w:p>
        </w:tc>
        <w:tc>
          <w:tcPr>
            <w:tcW w:w="1440" w:type="dxa"/>
            <w:vAlign w:val="bottom"/>
          </w:tcPr>
          <w:p>
            <w:pPr>
              <w:jc w:val="right"/>
              <w:spacing w:after="0" w:line="142" w:lineRule="exact"/>
              <w:rPr>
                <w:sz w:val="20"/>
                <w:szCs w:val="20"/>
                <w:color w:val="auto"/>
              </w:rPr>
            </w:pPr>
            <w:r>
              <w:rPr>
                <w:rFonts w:ascii="Arial" w:cs="Arial" w:eastAsia="Arial" w:hAnsi="Arial"/>
                <w:sz w:val="13"/>
                <w:szCs w:val="13"/>
                <w:color w:val="auto"/>
              </w:rPr>
              <w:t>11,188</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jc w:val="right"/>
              <w:spacing w:after="0" w:line="142" w:lineRule="exact"/>
              <w:rPr>
                <w:sz w:val="20"/>
                <w:szCs w:val="20"/>
                <w:color w:val="auto"/>
              </w:rPr>
            </w:pPr>
            <w:r>
              <w:rPr>
                <w:rFonts w:ascii="Arial" w:cs="Arial" w:eastAsia="Arial" w:hAnsi="Arial"/>
                <w:sz w:val="13"/>
                <w:szCs w:val="13"/>
                <w:color w:val="auto"/>
              </w:rPr>
              <w:t>12,295</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jc w:val="right"/>
              <w:spacing w:after="0" w:line="142" w:lineRule="exact"/>
              <w:rPr>
                <w:sz w:val="20"/>
                <w:szCs w:val="20"/>
                <w:color w:val="auto"/>
              </w:rPr>
            </w:pPr>
            <w:r>
              <w:rPr>
                <w:rFonts w:ascii="Arial" w:cs="Arial" w:eastAsia="Arial" w:hAnsi="Arial"/>
                <w:sz w:val="13"/>
                <w:szCs w:val="13"/>
                <w:color w:val="auto"/>
              </w:rPr>
              <w:t>32,849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jc w:val="right"/>
              <w:spacing w:after="0" w:line="142" w:lineRule="exact"/>
              <w:rPr>
                <w:sz w:val="20"/>
                <w:szCs w:val="20"/>
                <w:color w:val="auto"/>
              </w:rPr>
            </w:pPr>
            <w:r>
              <w:rPr>
                <w:rFonts w:ascii="Arial" w:cs="Arial" w:eastAsia="Arial" w:hAnsi="Arial"/>
                <w:sz w:val="13"/>
                <w:szCs w:val="13"/>
                <w:color w:val="auto"/>
              </w:rPr>
              <w:t>37,058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8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Benefit for bad debts</w:t>
            </w:r>
          </w:p>
        </w:tc>
        <w:tc>
          <w:tcPr>
            <w:tcW w:w="200" w:type="dxa"/>
            <w:vAlign w:val="bottom"/>
            <w:shd w:val="clear" w:color="auto" w:fill="CFF0FC"/>
          </w:tcPr>
          <w:p>
            <w:pPr>
              <w:spacing w:after="0"/>
              <w:rPr>
                <w:sz w:val="12"/>
                <w:szCs w:val="12"/>
                <w:color w:val="auto"/>
              </w:rPr>
            </w:pPr>
          </w:p>
        </w:tc>
        <w:tc>
          <w:tcPr>
            <w:tcW w:w="1700" w:type="dxa"/>
            <w:vAlign w:val="bottom"/>
            <w:gridSpan w:val="2"/>
            <w:shd w:val="clear" w:color="auto" w:fill="CFF0FC"/>
          </w:tcPr>
          <w:p>
            <w:pPr>
              <w:jc w:val="right"/>
              <w:ind w:right="220"/>
              <w:spacing w:after="0" w:line="142" w:lineRule="exact"/>
              <w:rPr>
                <w:sz w:val="20"/>
                <w:szCs w:val="20"/>
                <w:color w:val="auto"/>
              </w:rPr>
            </w:pPr>
            <w:r>
              <w:rPr>
                <w:rFonts w:ascii="Arial" w:cs="Arial" w:eastAsia="Arial" w:hAnsi="Arial"/>
                <w:sz w:val="13"/>
                <w:szCs w:val="13"/>
                <w:color w:val="auto"/>
              </w:rPr>
              <w:t>(294)</w:t>
            </w:r>
          </w:p>
        </w:tc>
        <w:tc>
          <w:tcPr>
            <w:tcW w:w="220" w:type="dxa"/>
            <w:vAlign w:val="bottom"/>
            <w:shd w:val="clear" w:color="auto" w:fill="CFF0FC"/>
          </w:tcPr>
          <w:p>
            <w:pPr>
              <w:spacing w:after="0"/>
              <w:rPr>
                <w:sz w:val="12"/>
                <w:szCs w:val="12"/>
                <w:color w:val="auto"/>
              </w:rPr>
            </w:pPr>
          </w:p>
        </w:tc>
        <w:tc>
          <w:tcPr>
            <w:tcW w:w="1560" w:type="dxa"/>
            <w:vAlign w:val="bottom"/>
            <w:gridSpan w:val="2"/>
            <w:shd w:val="clear" w:color="auto" w:fill="CFF0FC"/>
          </w:tcPr>
          <w:p>
            <w:pPr>
              <w:jc w:val="right"/>
              <w:ind w:right="100"/>
              <w:spacing w:after="0" w:line="142" w:lineRule="exact"/>
              <w:rPr>
                <w:sz w:val="20"/>
                <w:szCs w:val="20"/>
                <w:color w:val="auto"/>
              </w:rPr>
            </w:pPr>
            <w:r>
              <w:rPr>
                <w:rFonts w:ascii="Arial" w:cs="Arial" w:eastAsia="Arial" w:hAnsi="Arial"/>
                <w:sz w:val="13"/>
                <w:szCs w:val="13"/>
                <w:color w:val="auto"/>
              </w:rPr>
              <w:t>(255)</w:t>
            </w: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580" w:type="dxa"/>
            <w:vAlign w:val="bottom"/>
            <w:gridSpan w:val="2"/>
            <w:shd w:val="clear" w:color="auto" w:fill="CFF0FC"/>
          </w:tcPr>
          <w:p>
            <w:pPr>
              <w:jc w:val="right"/>
              <w:ind w:right="120"/>
              <w:spacing w:after="0" w:line="142" w:lineRule="exact"/>
              <w:rPr>
                <w:sz w:val="20"/>
                <w:szCs w:val="20"/>
                <w:color w:val="auto"/>
              </w:rPr>
            </w:pPr>
            <w:r>
              <w:rPr>
                <w:rFonts w:ascii="Arial" w:cs="Arial" w:eastAsia="Arial" w:hAnsi="Arial"/>
                <w:sz w:val="13"/>
                <w:szCs w:val="13"/>
                <w:color w:val="auto"/>
              </w:rPr>
              <w:t>(244)</w:t>
            </w: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540" w:type="dxa"/>
            <w:vAlign w:val="bottom"/>
            <w:gridSpan w:val="2"/>
            <w:shd w:val="clear" w:color="auto" w:fill="CFF0FC"/>
          </w:tcPr>
          <w:p>
            <w:pPr>
              <w:jc w:val="right"/>
              <w:ind w:right="80"/>
              <w:spacing w:after="0" w:line="142" w:lineRule="exact"/>
              <w:rPr>
                <w:sz w:val="20"/>
                <w:szCs w:val="20"/>
                <w:color w:val="auto"/>
              </w:rPr>
            </w:pPr>
            <w:r>
              <w:rPr>
                <w:rFonts w:ascii="Arial" w:cs="Arial" w:eastAsia="Arial" w:hAnsi="Arial"/>
                <w:sz w:val="13"/>
                <w:szCs w:val="13"/>
                <w:color w:val="auto"/>
              </w:rPr>
              <w:t>(39)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80" w:type="dxa"/>
            <w:vAlign w:val="bottom"/>
          </w:tcPr>
          <w:p>
            <w:pPr>
              <w:spacing w:after="0" w:line="142" w:lineRule="exact"/>
              <w:rPr>
                <w:sz w:val="20"/>
                <w:szCs w:val="20"/>
                <w:color w:val="auto"/>
              </w:rPr>
            </w:pPr>
            <w:r>
              <w:rPr>
                <w:rFonts w:ascii="Arial" w:cs="Arial" w:eastAsia="Arial" w:hAnsi="Arial"/>
                <w:sz w:val="13"/>
                <w:szCs w:val="13"/>
                <w:color w:val="auto"/>
              </w:rPr>
              <w:t>Restructuring costs, net</w:t>
            </w:r>
          </w:p>
        </w:tc>
        <w:tc>
          <w:tcPr>
            <w:tcW w:w="200" w:type="dxa"/>
            <w:vAlign w:val="bottom"/>
          </w:tcPr>
          <w:p>
            <w:pPr>
              <w:spacing w:after="0"/>
              <w:rPr>
                <w:sz w:val="12"/>
                <w:szCs w:val="12"/>
                <w:color w:val="auto"/>
              </w:rPr>
            </w:pPr>
          </w:p>
        </w:tc>
        <w:tc>
          <w:tcPr>
            <w:tcW w:w="1700" w:type="dxa"/>
            <w:vAlign w:val="bottom"/>
            <w:gridSpan w:val="2"/>
          </w:tcPr>
          <w:p>
            <w:pPr>
              <w:jc w:val="right"/>
              <w:ind w:right="280"/>
              <w:spacing w:after="0" w:line="142"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420" w:type="dxa"/>
            <w:vAlign w:val="bottom"/>
          </w:tcPr>
          <w:p>
            <w:pPr>
              <w:jc w:val="right"/>
              <w:spacing w:after="0" w:line="142" w:lineRule="exact"/>
              <w:rPr>
                <w:sz w:val="20"/>
                <w:szCs w:val="20"/>
                <w:color w:val="auto"/>
              </w:rPr>
            </w:pPr>
            <w:r>
              <w:rPr>
                <w:rFonts w:ascii="Arial" w:cs="Arial" w:eastAsia="Arial" w:hAnsi="Arial"/>
                <w:sz w:val="13"/>
                <w:szCs w:val="13"/>
                <w:color w:val="auto"/>
              </w:rPr>
              <w:t>1,320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jc w:val="right"/>
              <w:spacing w:after="0" w:line="142" w:lineRule="exact"/>
              <w:rPr>
                <w:sz w:val="20"/>
                <w:szCs w:val="20"/>
                <w:color w:val="auto"/>
              </w:rPr>
            </w:pPr>
            <w:r>
              <w:rPr>
                <w:rFonts w:ascii="Arial" w:cs="Arial" w:eastAsia="Arial" w:hAnsi="Arial"/>
                <w:sz w:val="13"/>
                <w:szCs w:val="13"/>
                <w:color w:val="auto"/>
              </w:rPr>
              <w:t>1,853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jc w:val="right"/>
              <w:spacing w:after="0" w:line="142" w:lineRule="exact"/>
              <w:rPr>
                <w:sz w:val="20"/>
                <w:szCs w:val="20"/>
                <w:color w:val="auto"/>
              </w:rPr>
            </w:pPr>
            <w:r>
              <w:rPr>
                <w:rFonts w:ascii="Arial" w:cs="Arial" w:eastAsia="Arial" w:hAnsi="Arial"/>
                <w:sz w:val="13"/>
                <w:szCs w:val="13"/>
                <w:color w:val="auto"/>
              </w:rPr>
              <w:t>1,320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8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Gain on sale of assets</w:t>
            </w:r>
          </w:p>
        </w:tc>
        <w:tc>
          <w:tcPr>
            <w:tcW w:w="200" w:type="dxa"/>
            <w:vAlign w:val="bottom"/>
            <w:shd w:val="clear" w:color="auto" w:fill="CFF0FC"/>
          </w:tcPr>
          <w:p>
            <w:pPr>
              <w:spacing w:after="0"/>
              <w:rPr>
                <w:sz w:val="12"/>
                <w:szCs w:val="12"/>
                <w:color w:val="auto"/>
              </w:rPr>
            </w:pPr>
          </w:p>
        </w:tc>
        <w:tc>
          <w:tcPr>
            <w:tcW w:w="1700" w:type="dxa"/>
            <w:vAlign w:val="bottom"/>
            <w:gridSpan w:val="2"/>
            <w:shd w:val="clear" w:color="auto" w:fill="CFF0FC"/>
          </w:tcPr>
          <w:p>
            <w:pPr>
              <w:jc w:val="right"/>
              <w:ind w:right="280"/>
              <w:spacing w:after="0" w:line="142" w:lineRule="exact"/>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1560" w:type="dxa"/>
            <w:vAlign w:val="bottom"/>
            <w:gridSpan w:val="2"/>
            <w:shd w:val="clear" w:color="auto" w:fill="CFF0FC"/>
          </w:tcPr>
          <w:p>
            <w:pPr>
              <w:jc w:val="right"/>
              <w:ind w:right="160"/>
              <w:spacing w:after="0" w:line="142"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580" w:type="dxa"/>
            <w:vAlign w:val="bottom"/>
            <w:gridSpan w:val="2"/>
            <w:shd w:val="clear" w:color="auto" w:fill="CFF0FC"/>
          </w:tcPr>
          <w:p>
            <w:pPr>
              <w:jc w:val="right"/>
              <w:ind w:right="160"/>
              <w:spacing w:after="0" w:line="142"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540" w:type="dxa"/>
            <w:vAlign w:val="bottom"/>
            <w:gridSpan w:val="2"/>
            <w:shd w:val="clear" w:color="auto" w:fill="CFF0FC"/>
          </w:tcPr>
          <w:p>
            <w:pPr>
              <w:jc w:val="right"/>
              <w:ind w:right="80"/>
              <w:spacing w:after="0" w:line="142" w:lineRule="exact"/>
              <w:rPr>
                <w:sz w:val="20"/>
                <w:szCs w:val="20"/>
                <w:color w:val="auto"/>
              </w:rPr>
            </w:pPr>
            <w:r>
              <w:rPr>
                <w:rFonts w:ascii="Arial" w:cs="Arial" w:eastAsia="Arial" w:hAnsi="Arial"/>
                <w:sz w:val="13"/>
                <w:szCs w:val="13"/>
                <w:color w:val="auto"/>
              </w:rPr>
              <w:t>(4,296)</w:t>
            </w:r>
          </w:p>
        </w:tc>
        <w:tc>
          <w:tcPr>
            <w:tcW w:w="0" w:type="dxa"/>
            <w:vAlign w:val="bottom"/>
          </w:tcPr>
          <w:p>
            <w:pPr>
              <w:spacing w:after="0"/>
              <w:rPr>
                <w:sz w:val="1"/>
                <w:szCs w:val="1"/>
                <w:color w:val="auto"/>
              </w:rPr>
            </w:pPr>
          </w:p>
        </w:tc>
      </w:tr>
      <w:tr>
        <w:trPr>
          <w:trHeight w:val="142"/>
        </w:trPr>
        <w:tc>
          <w:tcPr>
            <w:tcW w:w="3800" w:type="dxa"/>
            <w:vAlign w:val="bottom"/>
            <w:gridSpan w:val="2"/>
          </w:tcPr>
          <w:p>
            <w:pPr>
              <w:spacing w:after="0" w:line="142" w:lineRule="exact"/>
              <w:rPr>
                <w:sz w:val="20"/>
                <w:szCs w:val="20"/>
                <w:color w:val="auto"/>
              </w:rPr>
            </w:pPr>
            <w:r>
              <w:rPr>
                <w:rFonts w:ascii="Arial" w:cs="Arial" w:eastAsia="Arial" w:hAnsi="Arial"/>
                <w:sz w:val="13"/>
                <w:szCs w:val="13"/>
                <w:color w:val="auto"/>
              </w:rPr>
              <w:t>Other operating (income) expense, net</w:t>
            </w:r>
          </w:p>
        </w:tc>
        <w:tc>
          <w:tcPr>
            <w:tcW w:w="200" w:type="dxa"/>
            <w:vAlign w:val="bottom"/>
          </w:tcPr>
          <w:p>
            <w:pPr>
              <w:spacing w:after="0"/>
              <w:rPr>
                <w:sz w:val="12"/>
                <w:szCs w:val="12"/>
                <w:color w:val="auto"/>
              </w:rPr>
            </w:pPr>
          </w:p>
        </w:tc>
        <w:tc>
          <w:tcPr>
            <w:tcW w:w="1700" w:type="dxa"/>
            <w:vAlign w:val="bottom"/>
            <w:gridSpan w:val="2"/>
          </w:tcPr>
          <w:p>
            <w:pPr>
              <w:jc w:val="right"/>
              <w:ind w:right="220"/>
              <w:spacing w:after="0" w:line="142" w:lineRule="exact"/>
              <w:rPr>
                <w:sz w:val="20"/>
                <w:szCs w:val="20"/>
                <w:color w:val="auto"/>
              </w:rPr>
            </w:pPr>
            <w:r>
              <w:rPr>
                <w:rFonts w:ascii="Arial" w:cs="Arial" w:eastAsia="Arial" w:hAnsi="Arial"/>
                <w:sz w:val="13"/>
                <w:szCs w:val="13"/>
                <w:color w:val="auto"/>
              </w:rPr>
              <w:t>(1,660)</w:t>
            </w:r>
          </w:p>
        </w:tc>
        <w:tc>
          <w:tcPr>
            <w:tcW w:w="220" w:type="dxa"/>
            <w:vAlign w:val="bottom"/>
          </w:tcPr>
          <w:p>
            <w:pPr>
              <w:spacing w:after="0"/>
              <w:rPr>
                <w:sz w:val="12"/>
                <w:szCs w:val="12"/>
                <w:color w:val="auto"/>
              </w:rPr>
            </w:pPr>
          </w:p>
        </w:tc>
        <w:tc>
          <w:tcPr>
            <w:tcW w:w="1420" w:type="dxa"/>
            <w:vAlign w:val="bottom"/>
          </w:tcPr>
          <w:p>
            <w:pPr>
              <w:jc w:val="right"/>
              <w:spacing w:after="0" w:line="142" w:lineRule="exact"/>
              <w:rPr>
                <w:sz w:val="20"/>
                <w:szCs w:val="20"/>
                <w:color w:val="auto"/>
              </w:rPr>
            </w:pPr>
            <w:r>
              <w:rPr>
                <w:rFonts w:ascii="Arial" w:cs="Arial" w:eastAsia="Arial" w:hAnsi="Arial"/>
                <w:sz w:val="13"/>
                <w:szCs w:val="13"/>
                <w:color w:val="auto"/>
              </w:rPr>
              <w:t>55</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gridSpan w:val="2"/>
          </w:tcPr>
          <w:p>
            <w:pPr>
              <w:jc w:val="right"/>
              <w:ind w:right="120"/>
              <w:spacing w:after="0" w:line="142" w:lineRule="exact"/>
              <w:rPr>
                <w:sz w:val="20"/>
                <w:szCs w:val="20"/>
                <w:color w:val="auto"/>
              </w:rPr>
            </w:pPr>
            <w:r>
              <w:rPr>
                <w:rFonts w:ascii="Arial" w:cs="Arial" w:eastAsia="Arial" w:hAnsi="Arial"/>
                <w:sz w:val="13"/>
                <w:szCs w:val="13"/>
                <w:color w:val="auto"/>
              </w:rPr>
              <w:t>(1,317)</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jc w:val="right"/>
              <w:spacing w:after="0" w:line="142" w:lineRule="exact"/>
              <w:rPr>
                <w:sz w:val="20"/>
                <w:szCs w:val="20"/>
                <w:color w:val="auto"/>
              </w:rPr>
            </w:pPr>
            <w:r>
              <w:rPr>
                <w:rFonts w:ascii="Arial" w:cs="Arial" w:eastAsia="Arial" w:hAnsi="Arial"/>
                <w:sz w:val="13"/>
                <w:szCs w:val="13"/>
                <w:color w:val="auto"/>
              </w:rPr>
              <w:t>144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vMerge w:val="continue"/>
          </w:tcPr>
          <w:p>
            <w:pPr>
              <w:spacing w:after="0"/>
              <w:rPr>
                <w:sz w:val="11"/>
                <w:szCs w:val="11"/>
                <w:color w:val="auto"/>
              </w:rPr>
            </w:pPr>
          </w:p>
        </w:tc>
        <w:tc>
          <w:tcPr>
            <w:tcW w:w="378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Operating loss</w:t>
            </w:r>
          </w:p>
        </w:tc>
        <w:tc>
          <w:tcPr>
            <w:tcW w:w="200" w:type="dxa"/>
            <w:vAlign w:val="bottom"/>
            <w:shd w:val="clear" w:color="auto" w:fill="CFF0FC"/>
          </w:tcPr>
          <w:p>
            <w:pPr>
              <w:spacing w:after="0"/>
              <w:rPr>
                <w:sz w:val="11"/>
                <w:szCs w:val="11"/>
                <w:color w:val="auto"/>
              </w:rPr>
            </w:pPr>
          </w:p>
        </w:tc>
        <w:tc>
          <w:tcPr>
            <w:tcW w:w="1700" w:type="dxa"/>
            <w:vAlign w:val="bottom"/>
            <w:gridSpan w:val="2"/>
            <w:shd w:val="clear" w:color="auto" w:fill="CFF0FC"/>
          </w:tcPr>
          <w:p>
            <w:pPr>
              <w:jc w:val="right"/>
              <w:ind w:right="220"/>
              <w:spacing w:after="0" w:line="134" w:lineRule="exact"/>
              <w:rPr>
                <w:sz w:val="20"/>
                <w:szCs w:val="20"/>
                <w:color w:val="auto"/>
              </w:rPr>
            </w:pPr>
            <w:r>
              <w:rPr>
                <w:rFonts w:ascii="Arial" w:cs="Arial" w:eastAsia="Arial" w:hAnsi="Arial"/>
                <w:sz w:val="13"/>
                <w:szCs w:val="13"/>
                <w:color w:val="auto"/>
              </w:rPr>
              <w:t>(117)</w:t>
            </w:r>
          </w:p>
        </w:tc>
        <w:tc>
          <w:tcPr>
            <w:tcW w:w="220" w:type="dxa"/>
            <w:vAlign w:val="bottom"/>
            <w:shd w:val="clear" w:color="auto" w:fill="CFF0FC"/>
          </w:tcPr>
          <w:p>
            <w:pPr>
              <w:spacing w:after="0"/>
              <w:rPr>
                <w:sz w:val="11"/>
                <w:szCs w:val="11"/>
                <w:color w:val="auto"/>
              </w:rPr>
            </w:pPr>
          </w:p>
        </w:tc>
        <w:tc>
          <w:tcPr>
            <w:tcW w:w="1560" w:type="dxa"/>
            <w:vAlign w:val="bottom"/>
            <w:gridSpan w:val="2"/>
            <w:shd w:val="clear" w:color="auto" w:fill="CFF0FC"/>
          </w:tcPr>
          <w:p>
            <w:pPr>
              <w:jc w:val="right"/>
              <w:ind w:right="100"/>
              <w:spacing w:after="0" w:line="134" w:lineRule="exact"/>
              <w:rPr>
                <w:sz w:val="20"/>
                <w:szCs w:val="20"/>
                <w:color w:val="auto"/>
              </w:rPr>
            </w:pPr>
            <w:r>
              <w:rPr>
                <w:rFonts w:ascii="Arial" w:cs="Arial" w:eastAsia="Arial" w:hAnsi="Arial"/>
                <w:sz w:val="13"/>
                <w:szCs w:val="13"/>
                <w:color w:val="auto"/>
              </w:rPr>
              <w:t>(13,860)</w:t>
            </w:r>
          </w:p>
        </w:tc>
        <w:tc>
          <w:tcPr>
            <w:tcW w:w="1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580" w:type="dxa"/>
            <w:vAlign w:val="bottom"/>
            <w:gridSpan w:val="2"/>
            <w:shd w:val="clear" w:color="auto" w:fill="CFF0FC"/>
          </w:tcPr>
          <w:p>
            <w:pPr>
              <w:jc w:val="right"/>
              <w:ind w:right="120"/>
              <w:spacing w:after="0" w:line="134" w:lineRule="exact"/>
              <w:rPr>
                <w:sz w:val="20"/>
                <w:szCs w:val="20"/>
                <w:color w:val="auto"/>
              </w:rPr>
            </w:pPr>
            <w:r>
              <w:rPr>
                <w:rFonts w:ascii="Arial" w:cs="Arial" w:eastAsia="Arial" w:hAnsi="Arial"/>
                <w:sz w:val="13"/>
                <w:szCs w:val="13"/>
                <w:color w:val="auto"/>
              </w:rPr>
              <w:t>(17,026)</w:t>
            </w: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540" w:type="dxa"/>
            <w:vAlign w:val="bottom"/>
            <w:gridSpan w:val="2"/>
            <w:shd w:val="clear" w:color="auto" w:fill="CFF0FC"/>
          </w:tcPr>
          <w:p>
            <w:pPr>
              <w:jc w:val="right"/>
              <w:ind w:right="80"/>
              <w:spacing w:after="0" w:line="134" w:lineRule="exact"/>
              <w:rPr>
                <w:sz w:val="20"/>
                <w:szCs w:val="20"/>
                <w:color w:val="auto"/>
              </w:rPr>
            </w:pPr>
            <w:r>
              <w:rPr>
                <w:rFonts w:ascii="Arial" w:cs="Arial" w:eastAsia="Arial" w:hAnsi="Arial"/>
                <w:sz w:val="13"/>
                <w:szCs w:val="13"/>
                <w:color w:val="auto"/>
              </w:rPr>
              <w:t>(24,640)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80" w:type="dxa"/>
            <w:vAlign w:val="bottom"/>
          </w:tcPr>
          <w:p>
            <w:pPr>
              <w:spacing w:after="0" w:line="142" w:lineRule="exact"/>
              <w:rPr>
                <w:sz w:val="20"/>
                <w:szCs w:val="20"/>
                <w:color w:val="auto"/>
              </w:rPr>
            </w:pPr>
            <w:r>
              <w:rPr>
                <w:rFonts w:ascii="Arial" w:cs="Arial" w:eastAsia="Arial" w:hAnsi="Arial"/>
                <w:sz w:val="13"/>
                <w:szCs w:val="13"/>
                <w:color w:val="auto"/>
              </w:rPr>
              <w:t>Interest income</w:t>
            </w:r>
          </w:p>
        </w:tc>
        <w:tc>
          <w:tcPr>
            <w:tcW w:w="200" w:type="dxa"/>
            <w:vAlign w:val="bottom"/>
          </w:tcPr>
          <w:p>
            <w:pPr>
              <w:spacing w:after="0"/>
              <w:rPr>
                <w:sz w:val="12"/>
                <w:szCs w:val="12"/>
                <w:color w:val="auto"/>
              </w:rPr>
            </w:pPr>
          </w:p>
        </w:tc>
        <w:tc>
          <w:tcPr>
            <w:tcW w:w="1700" w:type="dxa"/>
            <w:vAlign w:val="bottom"/>
            <w:gridSpan w:val="2"/>
          </w:tcPr>
          <w:p>
            <w:pPr>
              <w:jc w:val="right"/>
              <w:ind w:right="220"/>
              <w:spacing w:after="0" w:line="142" w:lineRule="exact"/>
              <w:rPr>
                <w:sz w:val="20"/>
                <w:szCs w:val="20"/>
                <w:color w:val="auto"/>
              </w:rPr>
            </w:pPr>
            <w:r>
              <w:rPr>
                <w:rFonts w:ascii="Arial" w:cs="Arial" w:eastAsia="Arial" w:hAnsi="Arial"/>
                <w:sz w:val="13"/>
                <w:szCs w:val="13"/>
                <w:color w:val="auto"/>
              </w:rPr>
              <w:t>(446)</w:t>
            </w:r>
          </w:p>
        </w:tc>
        <w:tc>
          <w:tcPr>
            <w:tcW w:w="220" w:type="dxa"/>
            <w:vAlign w:val="bottom"/>
          </w:tcPr>
          <w:p>
            <w:pPr>
              <w:spacing w:after="0"/>
              <w:rPr>
                <w:sz w:val="12"/>
                <w:szCs w:val="12"/>
                <w:color w:val="auto"/>
              </w:rPr>
            </w:pPr>
          </w:p>
        </w:tc>
        <w:tc>
          <w:tcPr>
            <w:tcW w:w="1560" w:type="dxa"/>
            <w:vAlign w:val="bottom"/>
            <w:gridSpan w:val="2"/>
          </w:tcPr>
          <w:p>
            <w:pPr>
              <w:jc w:val="right"/>
              <w:ind w:right="100"/>
              <w:spacing w:after="0" w:line="142" w:lineRule="exact"/>
              <w:rPr>
                <w:sz w:val="20"/>
                <w:szCs w:val="20"/>
                <w:color w:val="auto"/>
              </w:rPr>
            </w:pPr>
            <w:r>
              <w:rPr>
                <w:rFonts w:ascii="Arial" w:cs="Arial" w:eastAsia="Arial" w:hAnsi="Arial"/>
                <w:sz w:val="13"/>
                <w:szCs w:val="13"/>
                <w:color w:val="auto"/>
              </w:rPr>
              <w:t>(198)</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gridSpan w:val="2"/>
          </w:tcPr>
          <w:p>
            <w:pPr>
              <w:jc w:val="right"/>
              <w:ind w:right="120"/>
              <w:spacing w:after="0" w:line="142" w:lineRule="exact"/>
              <w:rPr>
                <w:sz w:val="20"/>
                <w:szCs w:val="20"/>
                <w:color w:val="auto"/>
              </w:rPr>
            </w:pPr>
            <w:r>
              <w:rPr>
                <w:rFonts w:ascii="Arial" w:cs="Arial" w:eastAsia="Arial" w:hAnsi="Arial"/>
                <w:sz w:val="13"/>
                <w:szCs w:val="13"/>
                <w:color w:val="auto"/>
              </w:rPr>
              <w:t>(1,294)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2"/>
          </w:tcPr>
          <w:p>
            <w:pPr>
              <w:jc w:val="right"/>
              <w:ind w:right="80"/>
              <w:spacing w:after="0" w:line="142" w:lineRule="exact"/>
              <w:rPr>
                <w:sz w:val="20"/>
                <w:szCs w:val="20"/>
                <w:color w:val="auto"/>
              </w:rPr>
            </w:pPr>
            <w:r>
              <w:rPr>
                <w:rFonts w:ascii="Arial" w:cs="Arial" w:eastAsia="Arial" w:hAnsi="Arial"/>
                <w:sz w:val="13"/>
                <w:szCs w:val="13"/>
                <w:color w:val="auto"/>
              </w:rPr>
              <w:t>(632)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8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Interest expense</w:t>
            </w:r>
          </w:p>
        </w:tc>
        <w:tc>
          <w:tcPr>
            <w:tcW w:w="200" w:type="dxa"/>
            <w:vAlign w:val="bottom"/>
            <w:shd w:val="clear" w:color="auto" w:fill="CFF0FC"/>
          </w:tcPr>
          <w:p>
            <w:pPr>
              <w:spacing w:after="0"/>
              <w:rPr>
                <w:sz w:val="12"/>
                <w:szCs w:val="12"/>
                <w:color w:val="auto"/>
              </w:rPr>
            </w:pPr>
          </w:p>
        </w:tc>
        <w:tc>
          <w:tcPr>
            <w:tcW w:w="144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1,559</w:t>
            </w: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2,417</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5,364</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7,322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00" w:type="dxa"/>
            <w:vAlign w:val="bottom"/>
            <w:gridSpan w:val="2"/>
          </w:tcPr>
          <w:p>
            <w:pPr>
              <w:spacing w:after="0" w:line="142" w:lineRule="exact"/>
              <w:rPr>
                <w:sz w:val="20"/>
                <w:szCs w:val="20"/>
                <w:color w:val="auto"/>
              </w:rPr>
            </w:pPr>
            <w:r>
              <w:rPr>
                <w:rFonts w:ascii="Arial" w:cs="Arial" w:eastAsia="Arial" w:hAnsi="Arial"/>
                <w:sz w:val="13"/>
                <w:szCs w:val="13"/>
                <w:color w:val="auto"/>
              </w:rPr>
              <w:t>Equity in loss of unconsolidated affiliate</w:t>
            </w:r>
          </w:p>
        </w:tc>
        <w:tc>
          <w:tcPr>
            <w:tcW w:w="20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240</w:t>
            </w:r>
          </w:p>
        </w:tc>
        <w:tc>
          <w:tcPr>
            <w:tcW w:w="2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216</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289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467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78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Loss before income taxes</w:t>
            </w:r>
          </w:p>
        </w:tc>
        <w:tc>
          <w:tcPr>
            <w:tcW w:w="200" w:type="dxa"/>
            <w:vAlign w:val="bottom"/>
            <w:shd w:val="clear" w:color="auto" w:fill="CFF0FC"/>
          </w:tcPr>
          <w:p>
            <w:pPr>
              <w:spacing w:after="0"/>
              <w:rPr>
                <w:sz w:val="11"/>
                <w:szCs w:val="11"/>
                <w:color w:val="auto"/>
              </w:rPr>
            </w:pPr>
          </w:p>
        </w:tc>
        <w:tc>
          <w:tcPr>
            <w:tcW w:w="1700" w:type="dxa"/>
            <w:vAlign w:val="bottom"/>
            <w:gridSpan w:val="2"/>
            <w:shd w:val="clear" w:color="auto" w:fill="CFF0FC"/>
          </w:tcPr>
          <w:p>
            <w:pPr>
              <w:jc w:val="right"/>
              <w:ind w:right="220"/>
              <w:spacing w:after="0" w:line="134" w:lineRule="exact"/>
              <w:rPr>
                <w:sz w:val="20"/>
                <w:szCs w:val="20"/>
                <w:color w:val="auto"/>
              </w:rPr>
            </w:pPr>
            <w:r>
              <w:rPr>
                <w:rFonts w:ascii="Arial" w:cs="Arial" w:eastAsia="Arial" w:hAnsi="Arial"/>
                <w:sz w:val="13"/>
                <w:szCs w:val="13"/>
                <w:color w:val="auto"/>
              </w:rPr>
              <w:t>(1,470)</w:t>
            </w:r>
          </w:p>
        </w:tc>
        <w:tc>
          <w:tcPr>
            <w:tcW w:w="220" w:type="dxa"/>
            <w:vAlign w:val="bottom"/>
            <w:shd w:val="clear" w:color="auto" w:fill="CFF0FC"/>
          </w:tcPr>
          <w:p>
            <w:pPr>
              <w:spacing w:after="0"/>
              <w:rPr>
                <w:sz w:val="11"/>
                <w:szCs w:val="11"/>
                <w:color w:val="auto"/>
              </w:rPr>
            </w:pPr>
          </w:p>
        </w:tc>
        <w:tc>
          <w:tcPr>
            <w:tcW w:w="1560" w:type="dxa"/>
            <w:vAlign w:val="bottom"/>
            <w:gridSpan w:val="2"/>
            <w:shd w:val="clear" w:color="auto" w:fill="CFF0FC"/>
          </w:tcPr>
          <w:p>
            <w:pPr>
              <w:jc w:val="right"/>
              <w:ind w:right="100"/>
              <w:spacing w:after="0" w:line="134" w:lineRule="exact"/>
              <w:rPr>
                <w:sz w:val="20"/>
                <w:szCs w:val="20"/>
                <w:color w:val="auto"/>
              </w:rPr>
            </w:pPr>
            <w:r>
              <w:rPr>
                <w:rFonts w:ascii="Arial" w:cs="Arial" w:eastAsia="Arial" w:hAnsi="Arial"/>
                <w:sz w:val="13"/>
                <w:szCs w:val="13"/>
                <w:color w:val="auto"/>
              </w:rPr>
              <w:t>(16,295)</w:t>
            </w:r>
          </w:p>
        </w:tc>
        <w:tc>
          <w:tcPr>
            <w:tcW w:w="1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580" w:type="dxa"/>
            <w:vAlign w:val="bottom"/>
            <w:gridSpan w:val="2"/>
            <w:shd w:val="clear" w:color="auto" w:fill="CFF0FC"/>
          </w:tcPr>
          <w:p>
            <w:pPr>
              <w:jc w:val="right"/>
              <w:ind w:right="120"/>
              <w:spacing w:after="0" w:line="134" w:lineRule="exact"/>
              <w:rPr>
                <w:sz w:val="20"/>
                <w:szCs w:val="20"/>
                <w:color w:val="auto"/>
              </w:rPr>
            </w:pPr>
            <w:r>
              <w:rPr>
                <w:rFonts w:ascii="Arial" w:cs="Arial" w:eastAsia="Arial" w:hAnsi="Arial"/>
                <w:sz w:val="13"/>
                <w:szCs w:val="13"/>
                <w:color w:val="auto"/>
              </w:rPr>
              <w:t>(21,385)</w:t>
            </w: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540" w:type="dxa"/>
            <w:vAlign w:val="bottom"/>
            <w:gridSpan w:val="2"/>
            <w:shd w:val="clear" w:color="auto" w:fill="CFF0FC"/>
          </w:tcPr>
          <w:p>
            <w:pPr>
              <w:jc w:val="right"/>
              <w:ind w:right="80"/>
              <w:spacing w:after="0" w:line="134" w:lineRule="exact"/>
              <w:rPr>
                <w:sz w:val="20"/>
                <w:szCs w:val="20"/>
                <w:color w:val="auto"/>
              </w:rPr>
            </w:pPr>
            <w:r>
              <w:rPr>
                <w:rFonts w:ascii="Arial" w:cs="Arial" w:eastAsia="Arial" w:hAnsi="Arial"/>
                <w:sz w:val="13"/>
                <w:szCs w:val="13"/>
                <w:color w:val="auto"/>
              </w:rPr>
              <w:t>(31,797)</w:t>
            </w:r>
          </w:p>
        </w:tc>
        <w:tc>
          <w:tcPr>
            <w:tcW w:w="0" w:type="dxa"/>
            <w:vAlign w:val="bottom"/>
          </w:tcPr>
          <w:p>
            <w:pPr>
              <w:spacing w:after="0"/>
              <w:rPr>
                <w:sz w:val="1"/>
                <w:szCs w:val="1"/>
                <w:color w:val="auto"/>
              </w:rPr>
            </w:pPr>
          </w:p>
        </w:tc>
      </w:tr>
      <w:tr>
        <w:trPr>
          <w:trHeight w:val="142"/>
        </w:trPr>
        <w:tc>
          <w:tcPr>
            <w:tcW w:w="3800" w:type="dxa"/>
            <w:vAlign w:val="bottom"/>
            <w:gridSpan w:val="2"/>
          </w:tcPr>
          <w:p>
            <w:pPr>
              <w:spacing w:after="0" w:line="142" w:lineRule="exact"/>
              <w:rPr>
                <w:sz w:val="20"/>
                <w:szCs w:val="20"/>
                <w:color w:val="auto"/>
              </w:rPr>
            </w:pPr>
            <w:r>
              <w:rPr>
                <w:rFonts w:ascii="Arial" w:cs="Arial" w:eastAsia="Arial" w:hAnsi="Arial"/>
                <w:sz w:val="13"/>
                <w:szCs w:val="13"/>
                <w:color w:val="auto"/>
              </w:rPr>
              <w:t>Provision for income taxes</w:t>
            </w:r>
          </w:p>
        </w:tc>
        <w:tc>
          <w:tcPr>
            <w:tcW w:w="20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836</w:t>
            </w:r>
          </w:p>
        </w:tc>
        <w:tc>
          <w:tcPr>
            <w:tcW w:w="2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499</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1,984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4,021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80" w:type="dxa"/>
            <w:vAlign w:val="bottom"/>
            <w:tcBorders>
              <w:bottom w:val="single" w:sz="8" w:color="CFF0FC"/>
            </w:tcBorders>
            <w:shd w:val="clear" w:color="auto" w:fill="CFF0FC"/>
          </w:tcPr>
          <w:p>
            <w:pPr>
              <w:spacing w:after="0" w:line="134" w:lineRule="exact"/>
              <w:rPr>
                <w:sz w:val="20"/>
                <w:szCs w:val="20"/>
                <w:color w:val="auto"/>
              </w:rPr>
            </w:pPr>
            <w:r>
              <w:rPr>
                <w:rFonts w:ascii="Arial" w:cs="Arial" w:eastAsia="Arial" w:hAnsi="Arial"/>
                <w:sz w:val="13"/>
                <w:szCs w:val="13"/>
                <w:color w:val="auto"/>
              </w:rPr>
              <w:t>Net loss</w:t>
            </w:r>
          </w:p>
        </w:tc>
        <w:tc>
          <w:tcPr>
            <w:tcW w:w="200" w:type="dxa"/>
            <w:vAlign w:val="bottom"/>
            <w:tcBorders>
              <w:bottom w:val="single" w:sz="8" w:color="auto"/>
            </w:tcBorders>
            <w:shd w:val="clear" w:color="auto" w:fill="CFF0FC"/>
          </w:tcPr>
          <w:p>
            <w:pPr>
              <w:jc w:val="right"/>
              <w:ind w:right="93"/>
              <w:spacing w:after="0"/>
              <w:rPr>
                <w:sz w:val="20"/>
                <w:szCs w:val="20"/>
                <w:color w:val="auto"/>
              </w:rPr>
            </w:pPr>
            <w:r>
              <w:rPr>
                <w:rFonts w:ascii="Arial" w:cs="Arial" w:eastAsia="Arial" w:hAnsi="Arial"/>
                <w:sz w:val="9"/>
                <w:szCs w:val="9"/>
                <w:color w:val="auto"/>
                <w:w w:val="78"/>
              </w:rPr>
              <w:t>$</w:t>
            </w:r>
          </w:p>
        </w:tc>
        <w:tc>
          <w:tcPr>
            <w:tcW w:w="1440" w:type="dxa"/>
            <w:vAlign w:val="bottom"/>
            <w:tcBorders>
              <w:bottom w:val="single" w:sz="8" w:color="auto"/>
            </w:tcBorders>
            <w:shd w:val="clear" w:color="auto" w:fill="CFF0FC"/>
          </w:tcPr>
          <w:p>
            <w:pPr>
              <w:jc w:val="right"/>
              <w:spacing w:after="0" w:line="122" w:lineRule="exact"/>
              <w:rPr>
                <w:sz w:val="20"/>
                <w:szCs w:val="20"/>
                <w:color w:val="auto"/>
              </w:rPr>
            </w:pPr>
            <w:r>
              <w:rPr>
                <w:rFonts w:ascii="Arial" w:cs="Arial" w:eastAsia="Arial" w:hAnsi="Arial"/>
                <w:sz w:val="13"/>
                <w:szCs w:val="13"/>
                <w:color w:val="auto"/>
              </w:rPr>
              <w:t>(2,306)</w:t>
            </w:r>
          </w:p>
        </w:tc>
        <w:tc>
          <w:tcPr>
            <w:tcW w:w="2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jc w:val="right"/>
              <w:ind w:right="113"/>
              <w:spacing w:after="0"/>
              <w:rPr>
                <w:sz w:val="20"/>
                <w:szCs w:val="20"/>
                <w:color w:val="auto"/>
              </w:rPr>
            </w:pPr>
            <w:r>
              <w:rPr>
                <w:rFonts w:ascii="Arial" w:cs="Arial" w:eastAsia="Arial" w:hAnsi="Arial"/>
                <w:sz w:val="9"/>
                <w:szCs w:val="9"/>
                <w:color w:val="auto"/>
                <w:w w:val="78"/>
              </w:rPr>
              <w:t>$</w:t>
            </w:r>
          </w:p>
        </w:tc>
        <w:tc>
          <w:tcPr>
            <w:tcW w:w="1420" w:type="dxa"/>
            <w:vAlign w:val="bottom"/>
            <w:tcBorders>
              <w:bottom w:val="single" w:sz="8" w:color="auto"/>
            </w:tcBorders>
            <w:shd w:val="clear" w:color="auto" w:fill="CFF0FC"/>
          </w:tcPr>
          <w:p>
            <w:pPr>
              <w:jc w:val="right"/>
              <w:spacing w:after="0" w:line="122" w:lineRule="exact"/>
              <w:rPr>
                <w:sz w:val="20"/>
                <w:szCs w:val="20"/>
                <w:color w:val="auto"/>
              </w:rPr>
            </w:pPr>
            <w:r>
              <w:rPr>
                <w:rFonts w:ascii="Arial" w:cs="Arial" w:eastAsia="Arial" w:hAnsi="Arial"/>
                <w:sz w:val="13"/>
                <w:szCs w:val="13"/>
                <w:color w:val="auto"/>
              </w:rPr>
              <w:t>(16,794)</w:t>
            </w:r>
          </w:p>
        </w:tc>
        <w:tc>
          <w:tcPr>
            <w:tcW w:w="1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jc w:val="right"/>
              <w:ind w:right="113"/>
              <w:spacing w:after="0"/>
              <w:rPr>
                <w:sz w:val="20"/>
                <w:szCs w:val="20"/>
                <w:color w:val="auto"/>
              </w:rPr>
            </w:pPr>
            <w:r>
              <w:rPr>
                <w:rFonts w:ascii="Arial" w:cs="Arial" w:eastAsia="Arial" w:hAnsi="Arial"/>
                <w:sz w:val="9"/>
                <w:szCs w:val="9"/>
                <w:color w:val="auto"/>
                <w:w w:val="78"/>
              </w:rPr>
              <w:t>$</w:t>
            </w:r>
          </w:p>
        </w:tc>
        <w:tc>
          <w:tcPr>
            <w:tcW w:w="1420" w:type="dxa"/>
            <w:vAlign w:val="bottom"/>
            <w:tcBorders>
              <w:bottom w:val="single" w:sz="8" w:color="auto"/>
            </w:tcBorders>
            <w:shd w:val="clear" w:color="auto" w:fill="CFF0FC"/>
          </w:tcPr>
          <w:p>
            <w:pPr>
              <w:jc w:val="right"/>
              <w:spacing w:after="0" w:line="122" w:lineRule="exact"/>
              <w:rPr>
                <w:sz w:val="20"/>
                <w:szCs w:val="20"/>
                <w:color w:val="auto"/>
              </w:rPr>
            </w:pPr>
            <w:r>
              <w:rPr>
                <w:rFonts w:ascii="Arial" w:cs="Arial" w:eastAsia="Arial" w:hAnsi="Arial"/>
                <w:sz w:val="13"/>
                <w:szCs w:val="13"/>
                <w:color w:val="auto"/>
              </w:rPr>
              <w:t>(23,369)</w:t>
            </w:r>
          </w:p>
        </w:tc>
        <w:tc>
          <w:tcPr>
            <w:tcW w:w="16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jc w:val="right"/>
              <w:ind w:right="77"/>
              <w:spacing w:after="0" w:line="122" w:lineRule="exact"/>
              <w:rPr>
                <w:sz w:val="20"/>
                <w:szCs w:val="20"/>
                <w:color w:val="auto"/>
              </w:rPr>
            </w:pPr>
            <w:r>
              <w:rPr>
                <w:rFonts w:ascii="Arial" w:cs="Arial" w:eastAsia="Arial" w:hAnsi="Arial"/>
                <w:sz w:val="13"/>
                <w:szCs w:val="13"/>
                <w:color w:val="auto"/>
                <w:w w:val="82"/>
              </w:rPr>
              <w:t>$</w:t>
            </w:r>
          </w:p>
        </w:tc>
        <w:tc>
          <w:tcPr>
            <w:tcW w:w="1420" w:type="dxa"/>
            <w:vAlign w:val="bottom"/>
            <w:tcBorders>
              <w:bottom w:val="single" w:sz="8" w:color="auto"/>
            </w:tcBorders>
            <w:shd w:val="clear" w:color="auto" w:fill="CFF0FC"/>
          </w:tcPr>
          <w:p>
            <w:pPr>
              <w:jc w:val="right"/>
              <w:spacing w:after="0" w:line="122" w:lineRule="exact"/>
              <w:rPr>
                <w:sz w:val="20"/>
                <w:szCs w:val="20"/>
                <w:color w:val="auto"/>
              </w:rPr>
            </w:pPr>
            <w:r>
              <w:rPr>
                <w:rFonts w:ascii="Arial" w:cs="Arial" w:eastAsia="Arial" w:hAnsi="Arial"/>
                <w:sz w:val="13"/>
                <w:szCs w:val="13"/>
                <w:color w:val="auto"/>
              </w:rPr>
              <w:t>(35,818)</w:t>
            </w:r>
          </w:p>
        </w:tc>
        <w:tc>
          <w:tcPr>
            <w:tcW w:w="1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vMerge w:val="restart"/>
          </w:tcPr>
          <w:p>
            <w:pPr>
              <w:spacing w:after="0"/>
              <w:rPr>
                <w:sz w:val="10"/>
                <w:szCs w:val="10"/>
                <w:color w:val="auto"/>
              </w:rPr>
            </w:pPr>
          </w:p>
        </w:tc>
        <w:tc>
          <w:tcPr>
            <w:tcW w:w="3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378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Net loss per common share:</w:t>
            </w:r>
          </w:p>
        </w:tc>
        <w:tc>
          <w:tcPr>
            <w:tcW w:w="200" w:type="dxa"/>
            <w:vAlign w:val="bottom"/>
            <w:shd w:val="clear" w:color="auto" w:fill="CFF0FC"/>
          </w:tcPr>
          <w:p>
            <w:pPr>
              <w:spacing w:after="0"/>
              <w:rPr>
                <w:sz w:val="12"/>
                <w:szCs w:val="12"/>
                <w:color w:val="auto"/>
              </w:rPr>
            </w:pPr>
          </w:p>
        </w:tc>
        <w:tc>
          <w:tcPr>
            <w:tcW w:w="14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80" w:type="dxa"/>
            <w:vAlign w:val="bottom"/>
          </w:tcPr>
          <w:p>
            <w:pPr>
              <w:spacing w:after="0" w:line="142" w:lineRule="exact"/>
              <w:rPr>
                <w:sz w:val="20"/>
                <w:szCs w:val="20"/>
                <w:color w:val="auto"/>
              </w:rPr>
            </w:pPr>
            <w:r>
              <w:rPr>
                <w:rFonts w:ascii="Arial" w:cs="Arial" w:eastAsia="Arial" w:hAnsi="Arial"/>
                <w:sz w:val="13"/>
                <w:szCs w:val="13"/>
                <w:color w:val="auto"/>
              </w:rPr>
              <w:t>Basic</w:t>
            </w:r>
          </w:p>
        </w:tc>
        <w:tc>
          <w:tcPr>
            <w:tcW w:w="200" w:type="dxa"/>
            <w:vAlign w:val="bottom"/>
          </w:tcPr>
          <w:p>
            <w:pPr>
              <w:jc w:val="right"/>
              <w:ind w:right="93"/>
              <w:spacing w:after="0"/>
              <w:rPr>
                <w:sz w:val="20"/>
                <w:szCs w:val="20"/>
                <w:color w:val="auto"/>
              </w:rPr>
            </w:pPr>
            <w:r>
              <w:rPr>
                <w:rFonts w:ascii="Arial" w:cs="Arial" w:eastAsia="Arial" w:hAnsi="Arial"/>
                <w:sz w:val="9"/>
                <w:szCs w:val="9"/>
                <w:color w:val="auto"/>
                <w:w w:val="78"/>
              </w:rPr>
              <w:t>$</w:t>
            </w:r>
          </w:p>
        </w:tc>
        <w:tc>
          <w:tcPr>
            <w:tcW w:w="1700" w:type="dxa"/>
            <w:vAlign w:val="bottom"/>
            <w:gridSpan w:val="2"/>
          </w:tcPr>
          <w:p>
            <w:pPr>
              <w:jc w:val="right"/>
              <w:ind w:right="220"/>
              <w:spacing w:after="0" w:line="142" w:lineRule="exact"/>
              <w:rPr>
                <w:sz w:val="20"/>
                <w:szCs w:val="20"/>
                <w:color w:val="auto"/>
              </w:rPr>
            </w:pPr>
            <w:r>
              <w:rPr>
                <w:rFonts w:ascii="Arial" w:cs="Arial" w:eastAsia="Arial" w:hAnsi="Arial"/>
                <w:sz w:val="13"/>
                <w:szCs w:val="13"/>
                <w:color w:val="auto"/>
              </w:rPr>
              <w:t>(0.12)</w:t>
            </w:r>
          </w:p>
        </w:tc>
        <w:tc>
          <w:tcPr>
            <w:tcW w:w="220" w:type="dxa"/>
            <w:vAlign w:val="bottom"/>
          </w:tcPr>
          <w:p>
            <w:pPr>
              <w:jc w:val="right"/>
              <w:ind w:right="113"/>
              <w:spacing w:after="0"/>
              <w:rPr>
                <w:sz w:val="20"/>
                <w:szCs w:val="20"/>
                <w:color w:val="auto"/>
              </w:rPr>
            </w:pPr>
            <w:r>
              <w:rPr>
                <w:rFonts w:ascii="Arial" w:cs="Arial" w:eastAsia="Arial" w:hAnsi="Arial"/>
                <w:sz w:val="9"/>
                <w:szCs w:val="9"/>
                <w:color w:val="auto"/>
                <w:w w:val="78"/>
              </w:rPr>
              <w:t>$</w:t>
            </w:r>
          </w:p>
        </w:tc>
        <w:tc>
          <w:tcPr>
            <w:tcW w:w="1560" w:type="dxa"/>
            <w:vAlign w:val="bottom"/>
            <w:gridSpan w:val="2"/>
          </w:tcPr>
          <w:p>
            <w:pPr>
              <w:jc w:val="right"/>
              <w:ind w:right="100"/>
              <w:spacing w:after="0" w:line="142" w:lineRule="exact"/>
              <w:rPr>
                <w:sz w:val="20"/>
                <w:szCs w:val="20"/>
                <w:color w:val="auto"/>
              </w:rPr>
            </w:pPr>
            <w:r>
              <w:rPr>
                <w:rFonts w:ascii="Arial" w:cs="Arial" w:eastAsia="Arial" w:hAnsi="Arial"/>
                <w:sz w:val="13"/>
                <w:szCs w:val="13"/>
                <w:color w:val="auto"/>
              </w:rPr>
              <w:t>(0.92)</w:t>
            </w:r>
          </w:p>
        </w:tc>
        <w:tc>
          <w:tcPr>
            <w:tcW w:w="340" w:type="dxa"/>
            <w:vAlign w:val="bottom"/>
            <w:gridSpan w:val="2"/>
          </w:tcPr>
          <w:p>
            <w:pPr>
              <w:jc w:val="right"/>
              <w:ind w:right="113"/>
              <w:spacing w:after="0" w:line="142" w:lineRule="exact"/>
              <w:rPr>
                <w:sz w:val="20"/>
                <w:szCs w:val="20"/>
                <w:color w:val="auto"/>
              </w:rPr>
            </w:pPr>
            <w:r>
              <w:rPr>
                <w:rFonts w:ascii="Arial" w:cs="Arial" w:eastAsia="Arial" w:hAnsi="Arial"/>
                <w:sz w:val="13"/>
                <w:szCs w:val="13"/>
                <w:color w:val="auto"/>
              </w:rPr>
              <w:t>$</w:t>
            </w:r>
          </w:p>
        </w:tc>
        <w:tc>
          <w:tcPr>
            <w:tcW w:w="1580" w:type="dxa"/>
            <w:vAlign w:val="bottom"/>
            <w:gridSpan w:val="2"/>
          </w:tcPr>
          <w:p>
            <w:pPr>
              <w:jc w:val="right"/>
              <w:ind w:right="120"/>
              <w:spacing w:after="0" w:line="142" w:lineRule="exact"/>
              <w:rPr>
                <w:sz w:val="20"/>
                <w:szCs w:val="20"/>
                <w:color w:val="auto"/>
              </w:rPr>
            </w:pPr>
            <w:r>
              <w:rPr>
                <w:rFonts w:ascii="Arial" w:cs="Arial" w:eastAsia="Arial" w:hAnsi="Arial"/>
                <w:sz w:val="13"/>
                <w:szCs w:val="13"/>
                <w:color w:val="auto"/>
              </w:rPr>
              <w:t>(1.27)</w:t>
            </w:r>
          </w:p>
        </w:tc>
        <w:tc>
          <w:tcPr>
            <w:tcW w:w="320" w:type="dxa"/>
            <w:vAlign w:val="bottom"/>
            <w:gridSpan w:val="2"/>
          </w:tcPr>
          <w:p>
            <w:pPr>
              <w:jc w:val="right"/>
              <w:ind w:right="77"/>
              <w:spacing w:after="0" w:line="142" w:lineRule="exact"/>
              <w:rPr>
                <w:sz w:val="20"/>
                <w:szCs w:val="20"/>
                <w:color w:val="auto"/>
              </w:rPr>
            </w:pPr>
            <w:r>
              <w:rPr>
                <w:rFonts w:ascii="Arial" w:cs="Arial" w:eastAsia="Arial" w:hAnsi="Arial"/>
                <w:sz w:val="13"/>
                <w:szCs w:val="13"/>
                <w:color w:val="auto"/>
              </w:rPr>
              <w:t>$</w:t>
            </w:r>
          </w:p>
        </w:tc>
        <w:tc>
          <w:tcPr>
            <w:tcW w:w="1540" w:type="dxa"/>
            <w:vAlign w:val="bottom"/>
            <w:gridSpan w:val="2"/>
          </w:tcPr>
          <w:p>
            <w:pPr>
              <w:jc w:val="right"/>
              <w:ind w:right="80"/>
              <w:spacing w:after="0" w:line="142" w:lineRule="exact"/>
              <w:rPr>
                <w:sz w:val="20"/>
                <w:szCs w:val="20"/>
                <w:color w:val="auto"/>
              </w:rPr>
            </w:pPr>
            <w:r>
              <w:rPr>
                <w:rFonts w:ascii="Arial" w:cs="Arial" w:eastAsia="Arial" w:hAnsi="Arial"/>
                <w:sz w:val="13"/>
                <w:szCs w:val="13"/>
                <w:color w:val="auto"/>
              </w:rPr>
              <w:t>(1.96)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8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Diluted</w:t>
            </w:r>
          </w:p>
        </w:tc>
        <w:tc>
          <w:tcPr>
            <w:tcW w:w="200" w:type="dxa"/>
            <w:vAlign w:val="bottom"/>
            <w:shd w:val="clear" w:color="auto" w:fill="CFF0FC"/>
          </w:tcPr>
          <w:p>
            <w:pPr>
              <w:jc w:val="right"/>
              <w:ind w:right="93"/>
              <w:spacing w:after="0"/>
              <w:rPr>
                <w:sz w:val="20"/>
                <w:szCs w:val="20"/>
                <w:color w:val="auto"/>
              </w:rPr>
            </w:pPr>
            <w:r>
              <w:rPr>
                <w:rFonts w:ascii="Arial" w:cs="Arial" w:eastAsia="Arial" w:hAnsi="Arial"/>
                <w:sz w:val="9"/>
                <w:szCs w:val="9"/>
                <w:color w:val="auto"/>
                <w:w w:val="78"/>
              </w:rPr>
              <w:t>$</w:t>
            </w:r>
          </w:p>
        </w:tc>
        <w:tc>
          <w:tcPr>
            <w:tcW w:w="1700" w:type="dxa"/>
            <w:vAlign w:val="bottom"/>
            <w:gridSpan w:val="2"/>
            <w:shd w:val="clear" w:color="auto" w:fill="CFF0FC"/>
          </w:tcPr>
          <w:p>
            <w:pPr>
              <w:jc w:val="right"/>
              <w:ind w:right="220"/>
              <w:spacing w:after="0" w:line="142" w:lineRule="exact"/>
              <w:rPr>
                <w:sz w:val="20"/>
                <w:szCs w:val="20"/>
                <w:color w:val="auto"/>
              </w:rPr>
            </w:pPr>
            <w:r>
              <w:rPr>
                <w:rFonts w:ascii="Arial" w:cs="Arial" w:eastAsia="Arial" w:hAnsi="Arial"/>
                <w:sz w:val="13"/>
                <w:szCs w:val="13"/>
                <w:color w:val="auto"/>
              </w:rPr>
              <w:t>(0.12)</w:t>
            </w:r>
          </w:p>
        </w:tc>
        <w:tc>
          <w:tcPr>
            <w:tcW w:w="220" w:type="dxa"/>
            <w:vAlign w:val="bottom"/>
            <w:shd w:val="clear" w:color="auto" w:fill="CFF0FC"/>
          </w:tcPr>
          <w:p>
            <w:pPr>
              <w:jc w:val="right"/>
              <w:ind w:right="113"/>
              <w:spacing w:after="0"/>
              <w:rPr>
                <w:sz w:val="20"/>
                <w:szCs w:val="20"/>
                <w:color w:val="auto"/>
              </w:rPr>
            </w:pPr>
            <w:r>
              <w:rPr>
                <w:rFonts w:ascii="Arial" w:cs="Arial" w:eastAsia="Arial" w:hAnsi="Arial"/>
                <w:sz w:val="9"/>
                <w:szCs w:val="9"/>
                <w:color w:val="auto"/>
                <w:w w:val="78"/>
              </w:rPr>
              <w:t>$</w:t>
            </w:r>
          </w:p>
        </w:tc>
        <w:tc>
          <w:tcPr>
            <w:tcW w:w="1560" w:type="dxa"/>
            <w:vAlign w:val="bottom"/>
            <w:gridSpan w:val="2"/>
            <w:shd w:val="clear" w:color="auto" w:fill="CFF0FC"/>
          </w:tcPr>
          <w:p>
            <w:pPr>
              <w:jc w:val="right"/>
              <w:ind w:right="100"/>
              <w:spacing w:after="0" w:line="142" w:lineRule="exact"/>
              <w:rPr>
                <w:sz w:val="20"/>
                <w:szCs w:val="20"/>
                <w:color w:val="auto"/>
              </w:rPr>
            </w:pPr>
            <w:r>
              <w:rPr>
                <w:rFonts w:ascii="Arial" w:cs="Arial" w:eastAsia="Arial" w:hAnsi="Arial"/>
                <w:sz w:val="13"/>
                <w:szCs w:val="13"/>
                <w:color w:val="auto"/>
              </w:rPr>
              <w:t>(0.92)</w:t>
            </w:r>
          </w:p>
        </w:tc>
        <w:tc>
          <w:tcPr>
            <w:tcW w:w="340" w:type="dxa"/>
            <w:vAlign w:val="bottom"/>
            <w:gridSpan w:val="2"/>
            <w:shd w:val="clear" w:color="auto" w:fill="CFF0FC"/>
          </w:tcPr>
          <w:p>
            <w:pPr>
              <w:jc w:val="right"/>
              <w:ind w:right="113"/>
              <w:spacing w:after="0" w:line="142" w:lineRule="exact"/>
              <w:rPr>
                <w:sz w:val="20"/>
                <w:szCs w:val="20"/>
                <w:color w:val="auto"/>
              </w:rPr>
            </w:pPr>
            <w:r>
              <w:rPr>
                <w:rFonts w:ascii="Arial" w:cs="Arial" w:eastAsia="Arial" w:hAnsi="Arial"/>
                <w:sz w:val="13"/>
                <w:szCs w:val="13"/>
                <w:color w:val="auto"/>
              </w:rPr>
              <w:t>$</w:t>
            </w:r>
          </w:p>
        </w:tc>
        <w:tc>
          <w:tcPr>
            <w:tcW w:w="1580" w:type="dxa"/>
            <w:vAlign w:val="bottom"/>
            <w:gridSpan w:val="2"/>
            <w:shd w:val="clear" w:color="auto" w:fill="CFF0FC"/>
          </w:tcPr>
          <w:p>
            <w:pPr>
              <w:jc w:val="right"/>
              <w:ind w:right="120"/>
              <w:spacing w:after="0" w:line="142" w:lineRule="exact"/>
              <w:rPr>
                <w:sz w:val="20"/>
                <w:szCs w:val="20"/>
                <w:color w:val="auto"/>
              </w:rPr>
            </w:pPr>
            <w:r>
              <w:rPr>
                <w:rFonts w:ascii="Arial" w:cs="Arial" w:eastAsia="Arial" w:hAnsi="Arial"/>
                <w:sz w:val="13"/>
                <w:szCs w:val="13"/>
                <w:color w:val="auto"/>
              </w:rPr>
              <w:t>(1.27)</w:t>
            </w:r>
          </w:p>
        </w:tc>
        <w:tc>
          <w:tcPr>
            <w:tcW w:w="320" w:type="dxa"/>
            <w:vAlign w:val="bottom"/>
            <w:gridSpan w:val="2"/>
            <w:shd w:val="clear" w:color="auto" w:fill="CFF0FC"/>
          </w:tcPr>
          <w:p>
            <w:pPr>
              <w:jc w:val="right"/>
              <w:ind w:right="77"/>
              <w:spacing w:after="0" w:line="142" w:lineRule="exact"/>
              <w:rPr>
                <w:sz w:val="20"/>
                <w:szCs w:val="20"/>
                <w:color w:val="auto"/>
              </w:rPr>
            </w:pPr>
            <w:r>
              <w:rPr>
                <w:rFonts w:ascii="Arial" w:cs="Arial" w:eastAsia="Arial" w:hAnsi="Arial"/>
                <w:sz w:val="13"/>
                <w:szCs w:val="13"/>
                <w:color w:val="auto"/>
              </w:rPr>
              <w:t>$</w:t>
            </w:r>
          </w:p>
        </w:tc>
        <w:tc>
          <w:tcPr>
            <w:tcW w:w="1540" w:type="dxa"/>
            <w:vAlign w:val="bottom"/>
            <w:gridSpan w:val="2"/>
            <w:shd w:val="clear" w:color="auto" w:fill="CFF0FC"/>
          </w:tcPr>
          <w:p>
            <w:pPr>
              <w:jc w:val="right"/>
              <w:ind w:right="80"/>
              <w:spacing w:after="0" w:line="142" w:lineRule="exact"/>
              <w:rPr>
                <w:sz w:val="20"/>
                <w:szCs w:val="20"/>
                <w:color w:val="auto"/>
              </w:rPr>
            </w:pPr>
            <w:r>
              <w:rPr>
                <w:rFonts w:ascii="Arial" w:cs="Arial" w:eastAsia="Arial" w:hAnsi="Arial"/>
                <w:sz w:val="13"/>
                <w:szCs w:val="13"/>
                <w:color w:val="auto"/>
              </w:rPr>
              <w:t>(1.96)</w:t>
            </w:r>
          </w:p>
        </w:tc>
        <w:tc>
          <w:tcPr>
            <w:tcW w:w="0" w:type="dxa"/>
            <w:vAlign w:val="bottom"/>
          </w:tcPr>
          <w:p>
            <w:pPr>
              <w:spacing w:after="0"/>
              <w:rPr>
                <w:sz w:val="1"/>
                <w:szCs w:val="1"/>
                <w:color w:val="auto"/>
              </w:rPr>
            </w:pPr>
          </w:p>
        </w:tc>
      </w:tr>
      <w:tr>
        <w:trPr>
          <w:trHeight w:val="284"/>
        </w:trPr>
        <w:tc>
          <w:tcPr>
            <w:tcW w:w="3800" w:type="dxa"/>
            <w:vAlign w:val="bottom"/>
            <w:gridSpan w:val="2"/>
          </w:tcPr>
          <w:p>
            <w:pPr>
              <w:spacing w:after="0"/>
              <w:rPr>
                <w:sz w:val="20"/>
                <w:szCs w:val="20"/>
                <w:color w:val="auto"/>
              </w:rPr>
            </w:pPr>
            <w:r>
              <w:rPr>
                <w:rFonts w:ascii="Arial" w:cs="Arial" w:eastAsia="Arial" w:hAnsi="Arial"/>
                <w:sz w:val="13"/>
                <w:szCs w:val="13"/>
                <w:color w:val="auto"/>
              </w:rPr>
              <w:t>Weighted average common shares outstanding:</w:t>
            </w: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8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Basic</w:t>
            </w:r>
          </w:p>
        </w:tc>
        <w:tc>
          <w:tcPr>
            <w:tcW w:w="200" w:type="dxa"/>
            <w:vAlign w:val="bottom"/>
            <w:shd w:val="clear" w:color="auto" w:fill="CFF0FC"/>
          </w:tcPr>
          <w:p>
            <w:pPr>
              <w:spacing w:after="0"/>
              <w:rPr>
                <w:sz w:val="12"/>
                <w:szCs w:val="12"/>
                <w:color w:val="auto"/>
              </w:rPr>
            </w:pPr>
          </w:p>
        </w:tc>
        <w:tc>
          <w:tcPr>
            <w:tcW w:w="144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18,584</w:t>
            </w: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18,352</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18,455</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18,299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780" w:type="dxa"/>
            <w:vAlign w:val="bottom"/>
          </w:tcPr>
          <w:p>
            <w:pPr>
              <w:spacing w:after="0"/>
              <w:rPr>
                <w:sz w:val="20"/>
                <w:szCs w:val="20"/>
                <w:color w:val="auto"/>
              </w:rPr>
            </w:pPr>
            <w:r>
              <w:rPr>
                <w:rFonts w:ascii="Arial" w:cs="Arial" w:eastAsia="Arial" w:hAnsi="Arial"/>
                <w:sz w:val="13"/>
                <w:szCs w:val="13"/>
                <w:color w:val="auto"/>
              </w:rPr>
              <w:t>Diluted</w:t>
            </w:r>
          </w:p>
        </w:tc>
        <w:tc>
          <w:tcPr>
            <w:tcW w:w="2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18,584</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18,352</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18,455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18,299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8"/>
        </w:trPr>
        <w:tc>
          <w:tcPr>
            <w:tcW w:w="2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-1614170</wp:posOffset>
            </wp:positionV>
            <wp:extent cx="6731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-1598930</wp:posOffset>
            </wp:positionV>
            <wp:extent cx="6731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4660265</wp:posOffset>
            </wp:positionH>
            <wp:positionV relativeFrom="paragraph">
              <wp:posOffset>-1614170</wp:posOffset>
            </wp:positionV>
            <wp:extent cx="6731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4660265</wp:posOffset>
            </wp:positionH>
            <wp:positionV relativeFrom="paragraph">
              <wp:posOffset>-1598930</wp:posOffset>
            </wp:positionV>
            <wp:extent cx="6731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5869305</wp:posOffset>
            </wp:positionH>
            <wp:positionV relativeFrom="paragraph">
              <wp:posOffset>-1614170</wp:posOffset>
            </wp:positionV>
            <wp:extent cx="6731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5869305</wp:posOffset>
            </wp:positionH>
            <wp:positionV relativeFrom="paragraph">
              <wp:posOffset>-1598930</wp:posOffset>
            </wp:positionV>
            <wp:extent cx="6731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-1614170</wp:posOffset>
            </wp:positionV>
            <wp:extent cx="6731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-1598930</wp:posOffset>
            </wp:positionV>
            <wp:extent cx="6731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7" w:name="page8"/>
    <w:bookmarkEnd w:id="7"/>
    <w:p>
      <w:pPr>
        <w:spacing w:after="0" w:line="32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449580</wp:posOffset>
            </wp:positionV>
            <wp:extent cx="1081405" cy="4057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1081405" cy="40576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3"/>
          <w:szCs w:val="13"/>
          <w:b w:val="1"/>
          <w:bCs w:val="1"/>
          <w:color w:val="auto"/>
        </w:rPr>
        <w:t>CONDENSED CONSOLIDATED BALANCE SHEETS</w:t>
      </w:r>
    </w:p>
    <w:p>
      <w:pPr>
        <w:jc w:val="center"/>
        <w:ind w:right="20"/>
        <w:spacing w:after="0" w:line="234" w:lineRule="auto"/>
        <w:rPr>
          <w:sz w:val="20"/>
          <w:szCs w:val="20"/>
          <w:color w:val="auto"/>
        </w:rPr>
      </w:pPr>
      <w:r>
        <w:rPr>
          <w:rFonts w:ascii="Arial" w:cs="Arial" w:eastAsia="Arial" w:hAnsi="Arial"/>
          <w:sz w:val="13"/>
          <w:szCs w:val="13"/>
          <w:b w:val="1"/>
          <w:bCs w:val="1"/>
          <w:color w:val="auto"/>
        </w:rPr>
        <w:t>(Unaudited)</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58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3"/>
                <w:szCs w:val="13"/>
                <w:b w:val="1"/>
                <w:bCs w:val="1"/>
                <w:color w:val="auto"/>
              </w:rPr>
              <w:t>March 29, 2026</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40" w:type="dxa"/>
            <w:vAlign w:val="bottom"/>
            <w:gridSpan w:val="2"/>
          </w:tcPr>
          <w:p>
            <w:pPr>
              <w:jc w:val="right"/>
              <w:ind w:right="680"/>
              <w:spacing w:after="0"/>
              <w:rPr>
                <w:sz w:val="20"/>
                <w:szCs w:val="20"/>
                <w:color w:val="auto"/>
              </w:rPr>
            </w:pPr>
            <w:r>
              <w:rPr>
                <w:rFonts w:ascii="Arial" w:cs="Arial" w:eastAsia="Arial" w:hAnsi="Arial"/>
                <w:sz w:val="13"/>
                <w:szCs w:val="13"/>
                <w:b w:val="1"/>
                <w:bCs w:val="1"/>
                <w:color w:val="auto"/>
              </w:rPr>
              <w:t>June 29, 2025</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840" w:type="dxa"/>
            <w:vAlign w:val="bottom"/>
            <w:shd w:val="clear" w:color="auto" w:fill="CFF0FC"/>
          </w:tcPr>
          <w:p>
            <w:pPr>
              <w:jc w:val="center"/>
              <w:ind w:left="837"/>
              <w:spacing w:after="0" w:line="134" w:lineRule="exact"/>
              <w:rPr>
                <w:sz w:val="20"/>
                <w:szCs w:val="20"/>
                <w:color w:val="auto"/>
              </w:rPr>
            </w:pPr>
            <w:r>
              <w:rPr>
                <w:rFonts w:ascii="Arial" w:cs="Arial" w:eastAsia="Arial" w:hAnsi="Arial"/>
                <w:sz w:val="13"/>
                <w:szCs w:val="13"/>
                <w:b w:val="1"/>
                <w:bCs w:val="1"/>
                <w:color w:val="auto"/>
                <w:w w:val="96"/>
              </w:rPr>
              <w:t>ASSETS</w:t>
            </w:r>
          </w:p>
        </w:tc>
        <w:tc>
          <w:tcPr>
            <w:tcW w:w="1120" w:type="dxa"/>
            <w:vAlign w:val="bottom"/>
            <w:shd w:val="clear" w:color="auto" w:fill="CFF0FC"/>
          </w:tcPr>
          <w:p>
            <w:pPr>
              <w:spacing w:after="0"/>
              <w:rPr>
                <w:sz w:val="11"/>
                <w:szCs w:val="11"/>
                <w:color w:val="auto"/>
              </w:rPr>
            </w:pPr>
          </w:p>
        </w:tc>
        <w:tc>
          <w:tcPr>
            <w:tcW w:w="1460" w:type="dxa"/>
            <w:vAlign w:val="bottom"/>
            <w:tcBorders>
              <w:top w:val="single" w:sz="8" w:color="auto"/>
            </w:tcBorders>
            <w:shd w:val="clear" w:color="auto" w:fill="CFF0FC"/>
          </w:tcPr>
          <w:p>
            <w:pPr>
              <w:spacing w:after="0"/>
              <w:rPr>
                <w:sz w:val="11"/>
                <w:szCs w:val="11"/>
                <w:color w:val="auto"/>
              </w:rPr>
            </w:pPr>
          </w:p>
        </w:tc>
        <w:tc>
          <w:tcPr>
            <w:tcW w:w="500" w:type="dxa"/>
            <w:vAlign w:val="bottom"/>
            <w:tcBorders>
              <w:top w:val="single" w:sz="8" w:color="auto"/>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00" w:type="dxa"/>
            <w:vAlign w:val="bottom"/>
            <w:tcBorders>
              <w:top w:val="single" w:sz="8" w:color="auto"/>
            </w:tcBorders>
            <w:shd w:val="clear" w:color="auto" w:fill="CFF0FC"/>
          </w:tcPr>
          <w:p>
            <w:pPr>
              <w:spacing w:after="0"/>
              <w:rPr>
                <w:sz w:val="11"/>
                <w:szCs w:val="11"/>
                <w:color w:val="auto"/>
              </w:rPr>
            </w:pPr>
          </w:p>
        </w:tc>
        <w:tc>
          <w:tcPr>
            <w:tcW w:w="162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40" w:type="dxa"/>
            <w:vAlign w:val="bottom"/>
          </w:tcPr>
          <w:p>
            <w:pPr>
              <w:spacing w:after="0" w:line="142" w:lineRule="exact"/>
              <w:rPr>
                <w:sz w:val="20"/>
                <w:szCs w:val="20"/>
                <w:color w:val="auto"/>
              </w:rPr>
            </w:pPr>
            <w:r>
              <w:rPr>
                <w:rFonts w:ascii="Arial" w:cs="Arial" w:eastAsia="Arial" w:hAnsi="Arial"/>
                <w:sz w:val="13"/>
                <w:szCs w:val="13"/>
                <w:color w:val="auto"/>
              </w:rPr>
              <w:t>Cash and cash equivalents</w:t>
            </w:r>
          </w:p>
        </w:tc>
        <w:tc>
          <w:tcPr>
            <w:tcW w:w="2580" w:type="dxa"/>
            <w:vAlign w:val="bottom"/>
            <w:gridSpan w:val="2"/>
          </w:tcPr>
          <w:p>
            <w:pPr>
              <w:jc w:val="right"/>
              <w:ind w:right="1317"/>
              <w:spacing w:after="0" w:line="142"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42" w:lineRule="exact"/>
              <w:rPr>
                <w:sz w:val="20"/>
                <w:szCs w:val="20"/>
                <w:color w:val="auto"/>
              </w:rPr>
            </w:pPr>
            <w:r>
              <w:rPr>
                <w:rFonts w:ascii="Arial" w:cs="Arial" w:eastAsia="Arial" w:hAnsi="Arial"/>
                <w:sz w:val="13"/>
                <w:szCs w:val="13"/>
                <w:color w:val="auto"/>
              </w:rPr>
              <w:t>26,561</w:t>
            </w:r>
          </w:p>
        </w:tc>
        <w:tc>
          <w:tcPr>
            <w:tcW w:w="160" w:type="dxa"/>
            <w:vAlign w:val="bottom"/>
          </w:tcPr>
          <w:p>
            <w:pPr>
              <w:spacing w:after="0"/>
              <w:rPr>
                <w:sz w:val="12"/>
                <w:szCs w:val="12"/>
                <w:color w:val="auto"/>
              </w:rPr>
            </w:pPr>
          </w:p>
        </w:tc>
        <w:tc>
          <w:tcPr>
            <w:tcW w:w="420" w:type="dxa"/>
            <w:vAlign w:val="bottom"/>
            <w:gridSpan w:val="2"/>
          </w:tcPr>
          <w:p>
            <w:pPr>
              <w:jc w:val="right"/>
              <w:ind w:right="193"/>
              <w:spacing w:after="0" w:line="142" w:lineRule="exact"/>
              <w:rPr>
                <w:sz w:val="20"/>
                <w:szCs w:val="20"/>
                <w:color w:val="auto"/>
              </w:rPr>
            </w:pPr>
            <w:r>
              <w:rPr>
                <w:rFonts w:ascii="Arial" w:cs="Arial" w:eastAsia="Arial" w:hAnsi="Arial"/>
                <w:sz w:val="13"/>
                <w:szCs w:val="13"/>
                <w:color w:val="auto"/>
              </w:rPr>
              <w:t>$</w:t>
            </w:r>
          </w:p>
        </w:tc>
        <w:tc>
          <w:tcPr>
            <w:tcW w:w="1620" w:type="dxa"/>
            <w:vAlign w:val="bottom"/>
          </w:tcPr>
          <w:p>
            <w:pPr>
              <w:jc w:val="right"/>
              <w:spacing w:after="0" w:line="142" w:lineRule="exact"/>
              <w:rPr>
                <w:sz w:val="20"/>
                <w:szCs w:val="20"/>
                <w:color w:val="auto"/>
              </w:rPr>
            </w:pPr>
            <w:r>
              <w:rPr>
                <w:rFonts w:ascii="Arial" w:cs="Arial" w:eastAsia="Arial" w:hAnsi="Arial"/>
                <w:sz w:val="13"/>
                <w:szCs w:val="13"/>
                <w:color w:val="auto"/>
              </w:rPr>
              <w:t>22,664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4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Receivables, net</w:t>
            </w:r>
          </w:p>
        </w:tc>
        <w:tc>
          <w:tcPr>
            <w:tcW w:w="1120" w:type="dxa"/>
            <w:vAlign w:val="bottom"/>
            <w:shd w:val="clear" w:color="auto" w:fill="CFF0FC"/>
          </w:tcPr>
          <w:p>
            <w:pPr>
              <w:spacing w:after="0"/>
              <w:rPr>
                <w:sz w:val="12"/>
                <w:szCs w:val="12"/>
                <w:color w:val="auto"/>
              </w:rPr>
            </w:pPr>
          </w:p>
        </w:tc>
        <w:tc>
          <w:tcPr>
            <w:tcW w:w="146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73,629</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6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75,383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40" w:type="dxa"/>
            <w:vAlign w:val="bottom"/>
          </w:tcPr>
          <w:p>
            <w:pPr>
              <w:spacing w:after="0" w:line="142" w:lineRule="exact"/>
              <w:rPr>
                <w:sz w:val="20"/>
                <w:szCs w:val="20"/>
                <w:color w:val="auto"/>
              </w:rPr>
            </w:pPr>
            <w:r>
              <w:rPr>
                <w:rFonts w:ascii="Arial" w:cs="Arial" w:eastAsia="Arial" w:hAnsi="Arial"/>
                <w:sz w:val="13"/>
                <w:szCs w:val="13"/>
                <w:color w:val="auto"/>
              </w:rPr>
              <w:t>Inventories</w:t>
            </w:r>
          </w:p>
        </w:tc>
        <w:tc>
          <w:tcPr>
            <w:tcW w:w="1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Arial" w:cs="Arial" w:eastAsia="Arial" w:hAnsi="Arial"/>
                <w:sz w:val="13"/>
                <w:szCs w:val="13"/>
                <w:color w:val="auto"/>
                <w:w w:val="97"/>
              </w:rPr>
              <w:t>103,931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20" w:type="dxa"/>
            <w:vAlign w:val="bottom"/>
          </w:tcPr>
          <w:p>
            <w:pPr>
              <w:jc w:val="right"/>
              <w:spacing w:after="0" w:line="142" w:lineRule="exact"/>
              <w:rPr>
                <w:sz w:val="20"/>
                <w:szCs w:val="20"/>
                <w:color w:val="auto"/>
              </w:rPr>
            </w:pPr>
            <w:r>
              <w:rPr>
                <w:rFonts w:ascii="Arial" w:cs="Arial" w:eastAsia="Arial" w:hAnsi="Arial"/>
                <w:sz w:val="13"/>
                <w:szCs w:val="13"/>
                <w:color w:val="auto"/>
              </w:rPr>
              <w:t>122,929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4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Income taxes receivable</w:t>
            </w:r>
          </w:p>
        </w:tc>
        <w:tc>
          <w:tcPr>
            <w:tcW w:w="1120" w:type="dxa"/>
            <w:vAlign w:val="bottom"/>
            <w:shd w:val="clear" w:color="auto" w:fill="CFF0FC"/>
          </w:tcPr>
          <w:p>
            <w:pPr>
              <w:spacing w:after="0"/>
              <w:rPr>
                <w:sz w:val="12"/>
                <w:szCs w:val="12"/>
                <w:color w:val="auto"/>
              </w:rPr>
            </w:pPr>
          </w:p>
        </w:tc>
        <w:tc>
          <w:tcPr>
            <w:tcW w:w="146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947</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6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5,429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60" w:type="dxa"/>
            <w:vAlign w:val="bottom"/>
            <w:gridSpan w:val="2"/>
          </w:tcPr>
          <w:p>
            <w:pPr>
              <w:spacing w:after="0" w:line="142" w:lineRule="exact"/>
              <w:rPr>
                <w:sz w:val="20"/>
                <w:szCs w:val="20"/>
                <w:color w:val="auto"/>
              </w:rPr>
            </w:pPr>
            <w:r>
              <w:rPr>
                <w:rFonts w:ascii="Arial" w:cs="Arial" w:eastAsia="Arial" w:hAnsi="Arial"/>
                <w:sz w:val="13"/>
                <w:szCs w:val="13"/>
                <w:color w:val="auto"/>
              </w:rPr>
              <w:t>Other current assets</w:t>
            </w:r>
          </w:p>
        </w:tc>
        <w:tc>
          <w:tcPr>
            <w:tcW w:w="1120" w:type="dxa"/>
            <w:vAlign w:val="bottom"/>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7,337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9,222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840" w:type="dxa"/>
            <w:vAlign w:val="bottom"/>
            <w:tcBorders>
              <w:bottom w:val="single" w:sz="8" w:color="CFF0FC"/>
            </w:tcBorders>
            <w:shd w:val="clear" w:color="auto" w:fill="CFF0FC"/>
          </w:tcPr>
          <w:p>
            <w:pPr>
              <w:spacing w:after="0" w:line="134" w:lineRule="exact"/>
              <w:rPr>
                <w:sz w:val="20"/>
                <w:szCs w:val="20"/>
                <w:color w:val="auto"/>
              </w:rPr>
            </w:pPr>
            <w:r>
              <w:rPr>
                <w:rFonts w:ascii="Arial" w:cs="Arial" w:eastAsia="Arial" w:hAnsi="Arial"/>
                <w:sz w:val="13"/>
                <w:szCs w:val="13"/>
                <w:color w:val="auto"/>
              </w:rPr>
              <w:t>Total current assets</w:t>
            </w:r>
          </w:p>
        </w:tc>
        <w:tc>
          <w:tcPr>
            <w:tcW w:w="1120" w:type="dxa"/>
            <w:vAlign w:val="bottom"/>
            <w:tcBorders>
              <w:bottom w:val="single" w:sz="8" w:color="CFF0FC"/>
            </w:tcBorders>
            <w:shd w:val="clear" w:color="auto" w:fill="CFF0FC"/>
          </w:tcPr>
          <w:p>
            <w:pPr>
              <w:spacing w:after="0"/>
              <w:rPr>
                <w:sz w:val="11"/>
                <w:szCs w:val="11"/>
                <w:color w:val="auto"/>
              </w:rPr>
            </w:pPr>
          </w:p>
        </w:tc>
        <w:tc>
          <w:tcPr>
            <w:tcW w:w="1460" w:type="dxa"/>
            <w:vAlign w:val="bottom"/>
            <w:tcBorders>
              <w:bottom w:val="single" w:sz="8" w:color="auto"/>
            </w:tcBorders>
            <w:shd w:val="clear" w:color="auto" w:fill="CFF0FC"/>
          </w:tcPr>
          <w:p>
            <w:pPr>
              <w:spacing w:after="0"/>
              <w:rPr>
                <w:sz w:val="11"/>
                <w:szCs w:val="11"/>
                <w:color w:val="auto"/>
              </w:rPr>
            </w:pPr>
          </w:p>
        </w:tc>
        <w:tc>
          <w:tcPr>
            <w:tcW w:w="500" w:type="dxa"/>
            <w:vAlign w:val="bottom"/>
            <w:tcBorders>
              <w:bottom w:val="single" w:sz="8" w:color="auto"/>
            </w:tcBorders>
            <w:shd w:val="clear" w:color="auto" w:fill="CFF0FC"/>
          </w:tcPr>
          <w:p>
            <w:pPr>
              <w:jc w:val="right"/>
              <w:spacing w:after="0" w:line="134" w:lineRule="exact"/>
              <w:rPr>
                <w:sz w:val="20"/>
                <w:szCs w:val="20"/>
                <w:color w:val="auto"/>
              </w:rPr>
            </w:pPr>
            <w:r>
              <w:rPr>
                <w:rFonts w:ascii="Arial" w:cs="Arial" w:eastAsia="Arial" w:hAnsi="Arial"/>
                <w:sz w:val="13"/>
                <w:szCs w:val="13"/>
                <w:color w:val="auto"/>
                <w:w w:val="97"/>
              </w:rPr>
              <w:t>212,405</w:t>
            </w:r>
          </w:p>
        </w:tc>
        <w:tc>
          <w:tcPr>
            <w:tcW w:w="16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300" w:type="dxa"/>
            <w:vAlign w:val="bottom"/>
            <w:tcBorders>
              <w:bottom w:val="single" w:sz="8" w:color="auto"/>
            </w:tcBorders>
            <w:shd w:val="clear" w:color="auto" w:fill="CFF0FC"/>
          </w:tcPr>
          <w:p>
            <w:pPr>
              <w:spacing w:after="0"/>
              <w:rPr>
                <w:sz w:val="11"/>
                <w:szCs w:val="11"/>
                <w:color w:val="auto"/>
              </w:rPr>
            </w:pPr>
          </w:p>
        </w:tc>
        <w:tc>
          <w:tcPr>
            <w:tcW w:w="1620" w:type="dxa"/>
            <w:vAlign w:val="bottom"/>
            <w:tcBorders>
              <w:bottom w:val="single" w:sz="8" w:color="auto"/>
            </w:tcBorders>
            <w:shd w:val="clear" w:color="auto" w:fill="CFF0FC"/>
          </w:tcPr>
          <w:p>
            <w:pPr>
              <w:jc w:val="right"/>
              <w:spacing w:after="0" w:line="134" w:lineRule="exact"/>
              <w:rPr>
                <w:sz w:val="20"/>
                <w:szCs w:val="20"/>
                <w:color w:val="auto"/>
              </w:rPr>
            </w:pPr>
            <w:r>
              <w:rPr>
                <w:rFonts w:ascii="Arial" w:cs="Arial" w:eastAsia="Arial" w:hAnsi="Arial"/>
                <w:sz w:val="13"/>
                <w:szCs w:val="13"/>
                <w:color w:val="auto"/>
              </w:rPr>
              <w:t>235,627</w:t>
            </w:r>
          </w:p>
        </w:tc>
        <w:tc>
          <w:tcPr>
            <w:tcW w:w="12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840" w:type="dxa"/>
            <w:vAlign w:val="bottom"/>
          </w:tcPr>
          <w:p>
            <w:pPr>
              <w:spacing w:after="0" w:line="134" w:lineRule="exact"/>
              <w:rPr>
                <w:sz w:val="20"/>
                <w:szCs w:val="20"/>
                <w:color w:val="auto"/>
              </w:rPr>
            </w:pPr>
            <w:r>
              <w:rPr>
                <w:rFonts w:ascii="Arial" w:cs="Arial" w:eastAsia="Arial" w:hAnsi="Arial"/>
                <w:sz w:val="13"/>
                <w:szCs w:val="13"/>
                <w:color w:val="auto"/>
              </w:rPr>
              <w:t>Property, plant and equipment, net</w:t>
            </w:r>
          </w:p>
        </w:tc>
        <w:tc>
          <w:tcPr>
            <w:tcW w:w="11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500" w:type="dxa"/>
            <w:vAlign w:val="bottom"/>
          </w:tcPr>
          <w:p>
            <w:pPr>
              <w:jc w:val="right"/>
              <w:spacing w:after="0" w:line="134" w:lineRule="exact"/>
              <w:rPr>
                <w:sz w:val="20"/>
                <w:szCs w:val="20"/>
                <w:color w:val="auto"/>
              </w:rPr>
            </w:pPr>
            <w:r>
              <w:rPr>
                <w:rFonts w:ascii="Arial" w:cs="Arial" w:eastAsia="Arial" w:hAnsi="Arial"/>
                <w:sz w:val="13"/>
                <w:szCs w:val="13"/>
                <w:color w:val="auto"/>
                <w:w w:val="97"/>
              </w:rPr>
              <w:t>162,709</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20" w:type="dxa"/>
            <w:vAlign w:val="bottom"/>
          </w:tcPr>
          <w:p>
            <w:pPr>
              <w:jc w:val="right"/>
              <w:spacing w:after="0" w:line="134" w:lineRule="exact"/>
              <w:rPr>
                <w:sz w:val="20"/>
                <w:szCs w:val="20"/>
                <w:color w:val="auto"/>
              </w:rPr>
            </w:pPr>
            <w:r>
              <w:rPr>
                <w:rFonts w:ascii="Arial" w:cs="Arial" w:eastAsia="Arial" w:hAnsi="Arial"/>
                <w:sz w:val="13"/>
                <w:szCs w:val="13"/>
                <w:color w:val="auto"/>
              </w:rPr>
              <w:t>172,923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4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Operating lease assets</w:t>
            </w:r>
          </w:p>
        </w:tc>
        <w:tc>
          <w:tcPr>
            <w:tcW w:w="1120" w:type="dxa"/>
            <w:vAlign w:val="bottom"/>
            <w:shd w:val="clear" w:color="auto" w:fill="CFF0FC"/>
          </w:tcPr>
          <w:p>
            <w:pPr>
              <w:spacing w:after="0"/>
              <w:rPr>
                <w:sz w:val="12"/>
                <w:szCs w:val="12"/>
                <w:color w:val="auto"/>
              </w:rPr>
            </w:pPr>
          </w:p>
        </w:tc>
        <w:tc>
          <w:tcPr>
            <w:tcW w:w="146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7,119</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6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7,879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40" w:type="dxa"/>
            <w:vAlign w:val="bottom"/>
          </w:tcPr>
          <w:p>
            <w:pPr>
              <w:spacing w:after="0" w:line="142" w:lineRule="exact"/>
              <w:rPr>
                <w:sz w:val="20"/>
                <w:szCs w:val="20"/>
                <w:color w:val="auto"/>
              </w:rPr>
            </w:pPr>
            <w:r>
              <w:rPr>
                <w:rFonts w:ascii="Arial" w:cs="Arial" w:eastAsia="Arial" w:hAnsi="Arial"/>
                <w:sz w:val="13"/>
                <w:szCs w:val="13"/>
                <w:color w:val="auto"/>
              </w:rPr>
              <w:t>Deferred income taxes</w:t>
            </w:r>
          </w:p>
        </w:tc>
        <w:tc>
          <w:tcPr>
            <w:tcW w:w="1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Arial" w:cs="Arial" w:eastAsia="Arial" w:hAnsi="Arial"/>
                <w:sz w:val="13"/>
                <w:szCs w:val="13"/>
                <w:color w:val="auto"/>
              </w:rPr>
              <w:t>5,476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20" w:type="dxa"/>
            <w:vAlign w:val="bottom"/>
          </w:tcPr>
          <w:p>
            <w:pPr>
              <w:jc w:val="right"/>
              <w:spacing w:after="0" w:line="142" w:lineRule="exact"/>
              <w:rPr>
                <w:sz w:val="20"/>
                <w:szCs w:val="20"/>
                <w:color w:val="auto"/>
              </w:rPr>
            </w:pPr>
            <w:r>
              <w:rPr>
                <w:rFonts w:ascii="Arial" w:cs="Arial" w:eastAsia="Arial" w:hAnsi="Arial"/>
                <w:sz w:val="13"/>
                <w:szCs w:val="13"/>
                <w:color w:val="auto"/>
              </w:rPr>
              <w:t>5,535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40" w:type="dxa"/>
            <w:vAlign w:val="bottom"/>
            <w:tcBorders>
              <w:bottom w:val="single" w:sz="8" w:color="CFF0FC"/>
            </w:tcBorders>
            <w:shd w:val="clear" w:color="auto" w:fill="CFF0FC"/>
          </w:tcPr>
          <w:p>
            <w:pPr>
              <w:spacing w:after="0" w:line="142" w:lineRule="exact"/>
              <w:rPr>
                <w:sz w:val="20"/>
                <w:szCs w:val="20"/>
                <w:color w:val="auto"/>
              </w:rPr>
            </w:pPr>
            <w:r>
              <w:rPr>
                <w:rFonts w:ascii="Arial" w:cs="Arial" w:eastAsia="Arial" w:hAnsi="Arial"/>
                <w:sz w:val="13"/>
                <w:szCs w:val="13"/>
                <w:color w:val="auto"/>
              </w:rPr>
              <w:t>Other non-current assets</w:t>
            </w:r>
          </w:p>
        </w:tc>
        <w:tc>
          <w:tcPr>
            <w:tcW w:w="1120" w:type="dxa"/>
            <w:vAlign w:val="bottom"/>
            <w:tcBorders>
              <w:bottom w:val="single" w:sz="8" w:color="CFF0FC"/>
            </w:tcBorders>
            <w:shd w:val="clear" w:color="auto" w:fill="CFF0FC"/>
          </w:tcPr>
          <w:p>
            <w:pPr>
              <w:spacing w:after="0"/>
              <w:rPr>
                <w:sz w:val="12"/>
                <w:szCs w:val="12"/>
                <w:color w:val="auto"/>
              </w:rPr>
            </w:pPr>
          </w:p>
        </w:tc>
        <w:tc>
          <w:tcPr>
            <w:tcW w:w="1460" w:type="dxa"/>
            <w:vAlign w:val="bottom"/>
            <w:tcBorders>
              <w:bottom w:val="single" w:sz="8" w:color="auto"/>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4,665</w:t>
            </w:r>
          </w:p>
        </w:tc>
        <w:tc>
          <w:tcPr>
            <w:tcW w:w="1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16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4,904</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5860" w:type="dxa"/>
            <w:vAlign w:val="bottom"/>
            <w:gridSpan w:val="2"/>
          </w:tcPr>
          <w:p>
            <w:pPr>
              <w:spacing w:after="0" w:line="134" w:lineRule="exact"/>
              <w:rPr>
                <w:sz w:val="20"/>
                <w:szCs w:val="20"/>
                <w:color w:val="auto"/>
              </w:rPr>
            </w:pPr>
            <w:r>
              <w:rPr>
                <w:rFonts w:ascii="Arial" w:cs="Arial" w:eastAsia="Arial" w:hAnsi="Arial"/>
                <w:sz w:val="13"/>
                <w:szCs w:val="13"/>
                <w:color w:val="auto"/>
              </w:rPr>
              <w:t>Total assets</w:t>
            </w:r>
          </w:p>
        </w:tc>
        <w:tc>
          <w:tcPr>
            <w:tcW w:w="1120" w:type="dxa"/>
            <w:vAlign w:val="bottom"/>
          </w:tcPr>
          <w:p>
            <w:pPr>
              <w:spacing w:after="0"/>
              <w:rPr>
                <w:sz w:val="11"/>
                <w:szCs w:val="11"/>
                <w:color w:val="auto"/>
              </w:rPr>
            </w:pPr>
          </w:p>
        </w:tc>
        <w:tc>
          <w:tcPr>
            <w:tcW w:w="1460" w:type="dxa"/>
            <w:vAlign w:val="bottom"/>
            <w:tcBorders>
              <w:bottom w:val="single" w:sz="8" w:color="auto"/>
            </w:tcBorders>
          </w:tcPr>
          <w:p>
            <w:pPr>
              <w:jc w:val="right"/>
              <w:ind w:right="1317"/>
              <w:spacing w:after="0" w:line="122" w:lineRule="exact"/>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color w:val="auto"/>
                <w:w w:val="97"/>
              </w:rPr>
              <w:t>392,374</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Borders>
              <w:bottom w:val="single" w:sz="8" w:color="auto"/>
            </w:tcBorders>
          </w:tcPr>
          <w:p>
            <w:pPr>
              <w:jc w:val="right"/>
              <w:ind w:right="193"/>
              <w:spacing w:after="0"/>
              <w:rPr>
                <w:sz w:val="20"/>
                <w:szCs w:val="20"/>
                <w:color w:val="auto"/>
              </w:rPr>
            </w:pPr>
            <w:r>
              <w:rPr>
                <w:rFonts w:ascii="Arial" w:cs="Arial" w:eastAsia="Arial" w:hAnsi="Arial"/>
                <w:sz w:val="9"/>
                <w:szCs w:val="9"/>
                <w:color w:val="auto"/>
                <w:w w:val="78"/>
              </w:rPr>
              <w:t>$</w:t>
            </w:r>
          </w:p>
        </w:tc>
        <w:tc>
          <w:tcPr>
            <w:tcW w:w="162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426,868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tcPr>
          <w:p>
            <w:pPr>
              <w:spacing w:after="0"/>
              <w:rPr>
                <w:sz w:val="10"/>
                <w:szCs w:val="10"/>
                <w:color w:val="auto"/>
              </w:rPr>
            </w:pPr>
          </w:p>
        </w:tc>
        <w:tc>
          <w:tcPr>
            <w:tcW w:w="5840" w:type="dxa"/>
            <w:vAlign w:val="bottom"/>
            <w:shd w:val="clear" w:color="auto" w:fill="CFF0FC"/>
          </w:tcPr>
          <w:p>
            <w:pPr>
              <w:spacing w:after="0"/>
              <w:rPr>
                <w:sz w:val="10"/>
                <w:szCs w:val="10"/>
                <w:color w:val="auto"/>
              </w:rPr>
            </w:pPr>
          </w:p>
        </w:tc>
        <w:tc>
          <w:tcPr>
            <w:tcW w:w="1120" w:type="dxa"/>
            <w:vAlign w:val="bottom"/>
            <w:shd w:val="clear" w:color="auto" w:fill="CFF0FC"/>
          </w:tcPr>
          <w:p>
            <w:pPr>
              <w:spacing w:after="0"/>
              <w:rPr>
                <w:sz w:val="10"/>
                <w:szCs w:val="10"/>
                <w:color w:val="auto"/>
              </w:rPr>
            </w:pPr>
          </w:p>
        </w:tc>
        <w:tc>
          <w:tcPr>
            <w:tcW w:w="14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6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40" w:type="dxa"/>
            <w:vAlign w:val="bottom"/>
          </w:tcPr>
          <w:p>
            <w:pPr>
              <w:jc w:val="center"/>
              <w:ind w:left="837"/>
              <w:spacing w:after="0" w:line="142" w:lineRule="exact"/>
              <w:rPr>
                <w:sz w:val="20"/>
                <w:szCs w:val="20"/>
                <w:color w:val="auto"/>
              </w:rPr>
            </w:pPr>
            <w:r>
              <w:rPr>
                <w:rFonts w:ascii="Arial" w:cs="Arial" w:eastAsia="Arial" w:hAnsi="Arial"/>
                <w:sz w:val="13"/>
                <w:szCs w:val="13"/>
                <w:b w:val="1"/>
                <w:bCs w:val="1"/>
                <w:color w:val="auto"/>
                <w:w w:val="96"/>
              </w:rPr>
              <w:t>LIABILITIES AND SHAREHOLDERS’ EQUITY</w:t>
            </w:r>
          </w:p>
        </w:tc>
        <w:tc>
          <w:tcPr>
            <w:tcW w:w="1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4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Accounts payable</w:t>
            </w:r>
          </w:p>
        </w:tc>
        <w:tc>
          <w:tcPr>
            <w:tcW w:w="2580" w:type="dxa"/>
            <w:vAlign w:val="bottom"/>
            <w:gridSpan w:val="2"/>
            <w:shd w:val="clear" w:color="auto" w:fill="CFF0FC"/>
          </w:tcPr>
          <w:p>
            <w:pPr>
              <w:jc w:val="right"/>
              <w:ind w:right="1317"/>
              <w:spacing w:after="0" w:line="142" w:lineRule="exact"/>
              <w:rPr>
                <w:sz w:val="20"/>
                <w:szCs w:val="20"/>
                <w:color w:val="auto"/>
              </w:rPr>
            </w:pPr>
            <w:r>
              <w:rPr>
                <w:rFonts w:ascii="Arial" w:cs="Arial" w:eastAsia="Arial" w:hAnsi="Arial"/>
                <w:sz w:val="13"/>
                <w:szCs w:val="13"/>
                <w:color w:val="auto"/>
              </w:rPr>
              <w:t>$</w:t>
            </w:r>
          </w:p>
        </w:tc>
        <w:tc>
          <w:tcPr>
            <w:tcW w:w="5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36,211</w:t>
            </w:r>
          </w:p>
        </w:tc>
        <w:tc>
          <w:tcPr>
            <w:tcW w:w="160" w:type="dxa"/>
            <w:vAlign w:val="bottom"/>
            <w:shd w:val="clear" w:color="auto" w:fill="CFF0FC"/>
          </w:tcPr>
          <w:p>
            <w:pPr>
              <w:spacing w:after="0"/>
              <w:rPr>
                <w:sz w:val="12"/>
                <w:szCs w:val="12"/>
                <w:color w:val="auto"/>
              </w:rPr>
            </w:pPr>
          </w:p>
        </w:tc>
        <w:tc>
          <w:tcPr>
            <w:tcW w:w="420" w:type="dxa"/>
            <w:vAlign w:val="bottom"/>
            <w:gridSpan w:val="2"/>
            <w:shd w:val="clear" w:color="auto" w:fill="CFF0FC"/>
          </w:tcPr>
          <w:p>
            <w:pPr>
              <w:jc w:val="right"/>
              <w:ind w:right="193"/>
              <w:spacing w:after="0" w:line="142" w:lineRule="exact"/>
              <w:rPr>
                <w:sz w:val="20"/>
                <w:szCs w:val="20"/>
                <w:color w:val="auto"/>
              </w:rPr>
            </w:pPr>
            <w:r>
              <w:rPr>
                <w:rFonts w:ascii="Arial" w:cs="Arial" w:eastAsia="Arial" w:hAnsi="Arial"/>
                <w:sz w:val="13"/>
                <w:szCs w:val="13"/>
                <w:color w:val="auto"/>
              </w:rPr>
              <w:t>$</w:t>
            </w:r>
          </w:p>
        </w:tc>
        <w:tc>
          <w:tcPr>
            <w:tcW w:w="16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37,468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40" w:type="dxa"/>
            <w:vAlign w:val="bottom"/>
          </w:tcPr>
          <w:p>
            <w:pPr>
              <w:spacing w:after="0" w:line="142" w:lineRule="exact"/>
              <w:rPr>
                <w:sz w:val="20"/>
                <w:szCs w:val="20"/>
                <w:color w:val="auto"/>
              </w:rPr>
            </w:pPr>
            <w:r>
              <w:rPr>
                <w:rFonts w:ascii="Arial" w:cs="Arial" w:eastAsia="Arial" w:hAnsi="Arial"/>
                <w:sz w:val="13"/>
                <w:szCs w:val="13"/>
                <w:color w:val="auto"/>
              </w:rPr>
              <w:t>Income taxes payable</w:t>
            </w:r>
          </w:p>
        </w:tc>
        <w:tc>
          <w:tcPr>
            <w:tcW w:w="1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Arial" w:cs="Arial" w:eastAsia="Arial" w:hAnsi="Arial"/>
                <w:sz w:val="13"/>
                <w:szCs w:val="13"/>
                <w:color w:val="auto"/>
              </w:rPr>
              <w:t>661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20" w:type="dxa"/>
            <w:vAlign w:val="bottom"/>
          </w:tcPr>
          <w:p>
            <w:pPr>
              <w:jc w:val="right"/>
              <w:spacing w:after="0" w:line="142" w:lineRule="exact"/>
              <w:rPr>
                <w:sz w:val="20"/>
                <w:szCs w:val="20"/>
                <w:color w:val="auto"/>
              </w:rPr>
            </w:pPr>
            <w:r>
              <w:rPr>
                <w:rFonts w:ascii="Arial" w:cs="Arial" w:eastAsia="Arial" w:hAnsi="Arial"/>
                <w:sz w:val="13"/>
                <w:szCs w:val="13"/>
                <w:color w:val="auto"/>
              </w:rPr>
              <w:t>49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4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Current operating lease liabilities</w:t>
            </w:r>
          </w:p>
        </w:tc>
        <w:tc>
          <w:tcPr>
            <w:tcW w:w="1120" w:type="dxa"/>
            <w:vAlign w:val="bottom"/>
            <w:shd w:val="clear" w:color="auto" w:fill="CFF0FC"/>
          </w:tcPr>
          <w:p>
            <w:pPr>
              <w:spacing w:after="0"/>
              <w:rPr>
                <w:sz w:val="12"/>
                <w:szCs w:val="12"/>
                <w:color w:val="auto"/>
              </w:rPr>
            </w:pPr>
          </w:p>
        </w:tc>
        <w:tc>
          <w:tcPr>
            <w:tcW w:w="146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2,289</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6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2,368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40" w:type="dxa"/>
            <w:vAlign w:val="bottom"/>
          </w:tcPr>
          <w:p>
            <w:pPr>
              <w:spacing w:after="0" w:line="142" w:lineRule="exact"/>
              <w:rPr>
                <w:sz w:val="20"/>
                <w:szCs w:val="20"/>
                <w:color w:val="auto"/>
              </w:rPr>
            </w:pPr>
            <w:r>
              <w:rPr>
                <w:rFonts w:ascii="Arial" w:cs="Arial" w:eastAsia="Arial" w:hAnsi="Arial"/>
                <w:sz w:val="13"/>
                <w:szCs w:val="13"/>
                <w:color w:val="auto"/>
              </w:rPr>
              <w:t>Current portion of long-term debt</w:t>
            </w:r>
          </w:p>
        </w:tc>
        <w:tc>
          <w:tcPr>
            <w:tcW w:w="1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Arial" w:cs="Arial" w:eastAsia="Arial" w:hAnsi="Arial"/>
                <w:sz w:val="13"/>
                <w:szCs w:val="13"/>
                <w:color w:val="auto"/>
              </w:rPr>
              <w:t>12,614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20" w:type="dxa"/>
            <w:vAlign w:val="bottom"/>
          </w:tcPr>
          <w:p>
            <w:pPr>
              <w:jc w:val="right"/>
              <w:spacing w:after="0" w:line="142" w:lineRule="exact"/>
              <w:rPr>
                <w:sz w:val="20"/>
                <w:szCs w:val="20"/>
                <w:color w:val="auto"/>
              </w:rPr>
            </w:pPr>
            <w:r>
              <w:rPr>
                <w:rFonts w:ascii="Arial" w:cs="Arial" w:eastAsia="Arial" w:hAnsi="Arial"/>
                <w:sz w:val="13"/>
                <w:szCs w:val="13"/>
                <w:color w:val="auto"/>
              </w:rPr>
              <w:t>12,159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40" w:type="dxa"/>
            <w:vAlign w:val="bottom"/>
            <w:tcBorders>
              <w:bottom w:val="single" w:sz="8" w:color="CFF0FC"/>
            </w:tcBorders>
            <w:shd w:val="clear" w:color="auto" w:fill="CFF0FC"/>
          </w:tcPr>
          <w:p>
            <w:pPr>
              <w:spacing w:after="0" w:line="142" w:lineRule="exact"/>
              <w:rPr>
                <w:sz w:val="20"/>
                <w:szCs w:val="20"/>
                <w:color w:val="auto"/>
              </w:rPr>
            </w:pPr>
            <w:r>
              <w:rPr>
                <w:rFonts w:ascii="Arial" w:cs="Arial" w:eastAsia="Arial" w:hAnsi="Arial"/>
                <w:sz w:val="13"/>
                <w:szCs w:val="13"/>
                <w:color w:val="auto"/>
              </w:rPr>
              <w:t>Other current liabilities</w:t>
            </w:r>
          </w:p>
        </w:tc>
        <w:tc>
          <w:tcPr>
            <w:tcW w:w="1120" w:type="dxa"/>
            <w:vAlign w:val="bottom"/>
            <w:tcBorders>
              <w:bottom w:val="single" w:sz="8" w:color="CFF0FC"/>
            </w:tcBorders>
            <w:shd w:val="clear" w:color="auto" w:fill="CFF0FC"/>
          </w:tcPr>
          <w:p>
            <w:pPr>
              <w:spacing w:after="0"/>
              <w:rPr>
                <w:sz w:val="12"/>
                <w:szCs w:val="12"/>
                <w:color w:val="auto"/>
              </w:rPr>
            </w:pPr>
          </w:p>
        </w:tc>
        <w:tc>
          <w:tcPr>
            <w:tcW w:w="1460" w:type="dxa"/>
            <w:vAlign w:val="bottom"/>
            <w:tcBorders>
              <w:bottom w:val="single" w:sz="8" w:color="auto"/>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16,308</w:t>
            </w:r>
          </w:p>
        </w:tc>
        <w:tc>
          <w:tcPr>
            <w:tcW w:w="1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16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18,899</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5860" w:type="dxa"/>
            <w:vAlign w:val="bottom"/>
            <w:gridSpan w:val="2"/>
          </w:tcPr>
          <w:p>
            <w:pPr>
              <w:spacing w:after="0" w:line="134" w:lineRule="exact"/>
              <w:rPr>
                <w:sz w:val="20"/>
                <w:szCs w:val="20"/>
                <w:color w:val="auto"/>
              </w:rPr>
            </w:pPr>
            <w:r>
              <w:rPr>
                <w:rFonts w:ascii="Arial" w:cs="Arial" w:eastAsia="Arial" w:hAnsi="Arial"/>
                <w:sz w:val="13"/>
                <w:szCs w:val="13"/>
                <w:color w:val="auto"/>
              </w:rPr>
              <w:t>Total current liabilities</w:t>
            </w:r>
          </w:p>
        </w:tc>
        <w:tc>
          <w:tcPr>
            <w:tcW w:w="1120" w:type="dxa"/>
            <w:vAlign w:val="bottom"/>
          </w:tcPr>
          <w:p>
            <w:pPr>
              <w:spacing w:after="0"/>
              <w:rPr>
                <w:sz w:val="11"/>
                <w:szCs w:val="11"/>
                <w:color w:val="auto"/>
              </w:rPr>
            </w:pPr>
          </w:p>
        </w:tc>
        <w:tc>
          <w:tcPr>
            <w:tcW w:w="14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68,083</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70,943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8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Long-term debt</w:t>
            </w:r>
          </w:p>
        </w:tc>
        <w:tc>
          <w:tcPr>
            <w:tcW w:w="1120" w:type="dxa"/>
            <w:vAlign w:val="bottom"/>
            <w:shd w:val="clear" w:color="auto" w:fill="CFF0FC"/>
          </w:tcPr>
          <w:p>
            <w:pPr>
              <w:spacing w:after="0"/>
              <w:rPr>
                <w:sz w:val="11"/>
                <w:szCs w:val="11"/>
                <w:color w:val="auto"/>
              </w:rPr>
            </w:pPr>
          </w:p>
        </w:tc>
        <w:tc>
          <w:tcPr>
            <w:tcW w:w="146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82,242</w:t>
            </w: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62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95,727</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40" w:type="dxa"/>
            <w:vAlign w:val="bottom"/>
          </w:tcPr>
          <w:p>
            <w:pPr>
              <w:spacing w:after="0" w:line="142" w:lineRule="exact"/>
              <w:rPr>
                <w:sz w:val="20"/>
                <w:szCs w:val="20"/>
                <w:color w:val="auto"/>
              </w:rPr>
            </w:pPr>
            <w:r>
              <w:rPr>
                <w:rFonts w:ascii="Arial" w:cs="Arial" w:eastAsia="Arial" w:hAnsi="Arial"/>
                <w:sz w:val="13"/>
                <w:szCs w:val="13"/>
                <w:color w:val="auto"/>
              </w:rPr>
              <w:t>Non-current operating lease liabilities</w:t>
            </w:r>
          </w:p>
        </w:tc>
        <w:tc>
          <w:tcPr>
            <w:tcW w:w="1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Arial" w:cs="Arial" w:eastAsia="Arial" w:hAnsi="Arial"/>
                <w:sz w:val="13"/>
                <w:szCs w:val="13"/>
                <w:color w:val="auto"/>
              </w:rPr>
              <w:t>4,878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20" w:type="dxa"/>
            <w:vAlign w:val="bottom"/>
          </w:tcPr>
          <w:p>
            <w:pPr>
              <w:jc w:val="right"/>
              <w:spacing w:after="0" w:line="142" w:lineRule="exact"/>
              <w:rPr>
                <w:sz w:val="20"/>
                <w:szCs w:val="20"/>
                <w:color w:val="auto"/>
              </w:rPr>
            </w:pPr>
            <w:r>
              <w:rPr>
                <w:rFonts w:ascii="Arial" w:cs="Arial" w:eastAsia="Arial" w:hAnsi="Arial"/>
                <w:sz w:val="13"/>
                <w:szCs w:val="13"/>
                <w:color w:val="auto"/>
              </w:rPr>
              <w:t>5,614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4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Deferred income taxes</w:t>
            </w:r>
          </w:p>
        </w:tc>
        <w:tc>
          <w:tcPr>
            <w:tcW w:w="1120" w:type="dxa"/>
            <w:vAlign w:val="bottom"/>
            <w:shd w:val="clear" w:color="auto" w:fill="CFF0FC"/>
          </w:tcPr>
          <w:p>
            <w:pPr>
              <w:spacing w:after="0"/>
              <w:rPr>
                <w:sz w:val="12"/>
                <w:szCs w:val="12"/>
                <w:color w:val="auto"/>
              </w:rPr>
            </w:pPr>
          </w:p>
        </w:tc>
        <w:tc>
          <w:tcPr>
            <w:tcW w:w="146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1,178</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6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1,224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60" w:type="dxa"/>
            <w:vAlign w:val="bottom"/>
            <w:gridSpan w:val="2"/>
          </w:tcPr>
          <w:p>
            <w:pPr>
              <w:spacing w:after="0" w:line="142" w:lineRule="exact"/>
              <w:rPr>
                <w:sz w:val="20"/>
                <w:szCs w:val="20"/>
                <w:color w:val="auto"/>
              </w:rPr>
            </w:pPr>
            <w:r>
              <w:rPr>
                <w:rFonts w:ascii="Arial" w:cs="Arial" w:eastAsia="Arial" w:hAnsi="Arial"/>
                <w:sz w:val="13"/>
                <w:szCs w:val="13"/>
                <w:color w:val="auto"/>
              </w:rPr>
              <w:t>Other long-term liabilities</w:t>
            </w:r>
          </w:p>
        </w:tc>
        <w:tc>
          <w:tcPr>
            <w:tcW w:w="1120" w:type="dxa"/>
            <w:vAlign w:val="bottom"/>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4,122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3,889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840" w:type="dxa"/>
            <w:vAlign w:val="bottom"/>
            <w:tcBorders>
              <w:bottom w:val="single" w:sz="8" w:color="CFF0FC"/>
            </w:tcBorders>
            <w:shd w:val="clear" w:color="auto" w:fill="CFF0FC"/>
          </w:tcPr>
          <w:p>
            <w:pPr>
              <w:spacing w:after="0" w:line="134" w:lineRule="exact"/>
              <w:rPr>
                <w:sz w:val="20"/>
                <w:szCs w:val="20"/>
                <w:color w:val="auto"/>
              </w:rPr>
            </w:pPr>
            <w:r>
              <w:rPr>
                <w:rFonts w:ascii="Arial" w:cs="Arial" w:eastAsia="Arial" w:hAnsi="Arial"/>
                <w:sz w:val="13"/>
                <w:szCs w:val="13"/>
                <w:color w:val="auto"/>
              </w:rPr>
              <w:t>Total liabilities</w:t>
            </w:r>
          </w:p>
        </w:tc>
        <w:tc>
          <w:tcPr>
            <w:tcW w:w="1120" w:type="dxa"/>
            <w:vAlign w:val="bottom"/>
            <w:tcBorders>
              <w:bottom w:val="single" w:sz="8" w:color="CFF0FC"/>
            </w:tcBorders>
            <w:shd w:val="clear" w:color="auto" w:fill="CFF0FC"/>
          </w:tcPr>
          <w:p>
            <w:pPr>
              <w:spacing w:after="0"/>
              <w:rPr>
                <w:sz w:val="11"/>
                <w:szCs w:val="11"/>
                <w:color w:val="auto"/>
              </w:rPr>
            </w:pPr>
          </w:p>
        </w:tc>
        <w:tc>
          <w:tcPr>
            <w:tcW w:w="1460" w:type="dxa"/>
            <w:vAlign w:val="bottom"/>
            <w:tcBorders>
              <w:bottom w:val="single" w:sz="8" w:color="auto"/>
            </w:tcBorders>
            <w:shd w:val="clear" w:color="auto" w:fill="CFF0FC"/>
          </w:tcPr>
          <w:p>
            <w:pPr>
              <w:spacing w:after="0"/>
              <w:rPr>
                <w:sz w:val="11"/>
                <w:szCs w:val="11"/>
                <w:color w:val="auto"/>
              </w:rPr>
            </w:pPr>
          </w:p>
        </w:tc>
        <w:tc>
          <w:tcPr>
            <w:tcW w:w="500" w:type="dxa"/>
            <w:vAlign w:val="bottom"/>
            <w:tcBorders>
              <w:bottom w:val="single" w:sz="8" w:color="auto"/>
            </w:tcBorders>
            <w:shd w:val="clear" w:color="auto" w:fill="CFF0FC"/>
          </w:tcPr>
          <w:p>
            <w:pPr>
              <w:jc w:val="right"/>
              <w:spacing w:after="0" w:line="134" w:lineRule="exact"/>
              <w:rPr>
                <w:sz w:val="20"/>
                <w:szCs w:val="20"/>
                <w:color w:val="auto"/>
              </w:rPr>
            </w:pPr>
            <w:r>
              <w:rPr>
                <w:rFonts w:ascii="Arial" w:cs="Arial" w:eastAsia="Arial" w:hAnsi="Arial"/>
                <w:sz w:val="13"/>
                <w:szCs w:val="13"/>
                <w:color w:val="auto"/>
                <w:w w:val="97"/>
              </w:rPr>
              <w:t>160,503</w:t>
            </w:r>
          </w:p>
        </w:tc>
        <w:tc>
          <w:tcPr>
            <w:tcW w:w="16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300" w:type="dxa"/>
            <w:vAlign w:val="bottom"/>
            <w:tcBorders>
              <w:bottom w:val="single" w:sz="8" w:color="auto"/>
            </w:tcBorders>
            <w:shd w:val="clear" w:color="auto" w:fill="CFF0FC"/>
          </w:tcPr>
          <w:p>
            <w:pPr>
              <w:spacing w:after="0"/>
              <w:rPr>
                <w:sz w:val="11"/>
                <w:szCs w:val="11"/>
                <w:color w:val="auto"/>
              </w:rPr>
            </w:pPr>
          </w:p>
        </w:tc>
        <w:tc>
          <w:tcPr>
            <w:tcW w:w="1620" w:type="dxa"/>
            <w:vAlign w:val="bottom"/>
            <w:tcBorders>
              <w:bottom w:val="single" w:sz="8" w:color="auto"/>
            </w:tcBorders>
            <w:shd w:val="clear" w:color="auto" w:fill="CFF0FC"/>
          </w:tcPr>
          <w:p>
            <w:pPr>
              <w:jc w:val="right"/>
              <w:spacing w:after="0" w:line="134" w:lineRule="exact"/>
              <w:rPr>
                <w:sz w:val="20"/>
                <w:szCs w:val="20"/>
                <w:color w:val="auto"/>
              </w:rPr>
            </w:pPr>
            <w:r>
              <w:rPr>
                <w:rFonts w:ascii="Arial" w:cs="Arial" w:eastAsia="Arial" w:hAnsi="Arial"/>
                <w:sz w:val="13"/>
                <w:szCs w:val="13"/>
                <w:color w:val="auto"/>
              </w:rPr>
              <w:t>177,397</w:t>
            </w:r>
          </w:p>
        </w:tc>
        <w:tc>
          <w:tcPr>
            <w:tcW w:w="12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58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584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Commitments and contingencies</w:t>
            </w:r>
          </w:p>
        </w:tc>
        <w:tc>
          <w:tcPr>
            <w:tcW w:w="1120" w:type="dxa"/>
            <w:vAlign w:val="bottom"/>
            <w:shd w:val="clear" w:color="auto" w:fill="CFF0FC"/>
          </w:tcPr>
          <w:p>
            <w:pPr>
              <w:spacing w:after="0"/>
              <w:rPr>
                <w:sz w:val="12"/>
                <w:szCs w:val="12"/>
                <w:color w:val="auto"/>
              </w:rPr>
            </w:pPr>
          </w:p>
        </w:tc>
        <w:tc>
          <w:tcPr>
            <w:tcW w:w="14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8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584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Common stock</w:t>
            </w:r>
          </w:p>
        </w:tc>
        <w:tc>
          <w:tcPr>
            <w:tcW w:w="1120" w:type="dxa"/>
            <w:vAlign w:val="bottom"/>
            <w:shd w:val="clear" w:color="auto" w:fill="CFF0FC"/>
          </w:tcPr>
          <w:p>
            <w:pPr>
              <w:spacing w:after="0"/>
              <w:rPr>
                <w:sz w:val="12"/>
                <w:szCs w:val="12"/>
                <w:color w:val="auto"/>
              </w:rPr>
            </w:pPr>
          </w:p>
        </w:tc>
        <w:tc>
          <w:tcPr>
            <w:tcW w:w="146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1,859</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6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1,836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40" w:type="dxa"/>
            <w:vAlign w:val="bottom"/>
          </w:tcPr>
          <w:p>
            <w:pPr>
              <w:spacing w:after="0" w:line="142" w:lineRule="exact"/>
              <w:rPr>
                <w:sz w:val="20"/>
                <w:szCs w:val="20"/>
                <w:color w:val="auto"/>
              </w:rPr>
            </w:pPr>
            <w:r>
              <w:rPr>
                <w:rFonts w:ascii="Arial" w:cs="Arial" w:eastAsia="Arial" w:hAnsi="Arial"/>
                <w:sz w:val="13"/>
                <w:szCs w:val="13"/>
                <w:color w:val="auto"/>
              </w:rPr>
              <w:t>Capital in excess of par value</w:t>
            </w:r>
          </w:p>
        </w:tc>
        <w:tc>
          <w:tcPr>
            <w:tcW w:w="1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Arial" w:cs="Arial" w:eastAsia="Arial" w:hAnsi="Arial"/>
                <w:sz w:val="13"/>
                <w:szCs w:val="13"/>
                <w:color w:val="auto"/>
              </w:rPr>
              <w:t>76,254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20" w:type="dxa"/>
            <w:vAlign w:val="bottom"/>
          </w:tcPr>
          <w:p>
            <w:pPr>
              <w:jc w:val="right"/>
              <w:spacing w:after="0" w:line="142" w:lineRule="exact"/>
              <w:rPr>
                <w:sz w:val="20"/>
                <w:szCs w:val="20"/>
                <w:color w:val="auto"/>
              </w:rPr>
            </w:pPr>
            <w:r>
              <w:rPr>
                <w:rFonts w:ascii="Arial" w:cs="Arial" w:eastAsia="Arial" w:hAnsi="Arial"/>
                <w:sz w:val="13"/>
                <w:szCs w:val="13"/>
                <w:color w:val="auto"/>
              </w:rPr>
              <w:t>74,095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4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Retained earnings</w:t>
            </w:r>
          </w:p>
        </w:tc>
        <w:tc>
          <w:tcPr>
            <w:tcW w:w="1120" w:type="dxa"/>
            <w:vAlign w:val="bottom"/>
            <w:shd w:val="clear" w:color="auto" w:fill="CFF0FC"/>
          </w:tcPr>
          <w:p>
            <w:pPr>
              <w:spacing w:after="0"/>
              <w:rPr>
                <w:sz w:val="12"/>
                <w:szCs w:val="12"/>
                <w:color w:val="auto"/>
              </w:rPr>
            </w:pPr>
          </w:p>
        </w:tc>
        <w:tc>
          <w:tcPr>
            <w:tcW w:w="146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w w:val="97"/>
              </w:rPr>
              <w:t>215,680</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6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239,049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60" w:type="dxa"/>
            <w:vAlign w:val="bottom"/>
            <w:gridSpan w:val="2"/>
          </w:tcPr>
          <w:p>
            <w:pPr>
              <w:spacing w:after="0" w:line="142" w:lineRule="exact"/>
              <w:rPr>
                <w:sz w:val="20"/>
                <w:szCs w:val="20"/>
                <w:color w:val="auto"/>
              </w:rPr>
            </w:pPr>
            <w:r>
              <w:rPr>
                <w:rFonts w:ascii="Arial" w:cs="Arial" w:eastAsia="Arial" w:hAnsi="Arial"/>
                <w:sz w:val="13"/>
                <w:szCs w:val="13"/>
                <w:color w:val="auto"/>
              </w:rPr>
              <w:t>Accumulated other comprehensive loss</w:t>
            </w:r>
          </w:p>
        </w:tc>
        <w:tc>
          <w:tcPr>
            <w:tcW w:w="1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60" w:type="dxa"/>
            <w:vAlign w:val="bottom"/>
            <w:gridSpan w:val="2"/>
          </w:tcPr>
          <w:p>
            <w:pPr>
              <w:jc w:val="right"/>
              <w:ind w:right="120"/>
              <w:spacing w:after="0" w:line="142" w:lineRule="exact"/>
              <w:rPr>
                <w:sz w:val="20"/>
                <w:szCs w:val="20"/>
                <w:color w:val="auto"/>
              </w:rPr>
            </w:pPr>
            <w:r>
              <w:rPr>
                <w:rFonts w:ascii="Arial" w:cs="Arial" w:eastAsia="Arial" w:hAnsi="Arial"/>
                <w:sz w:val="13"/>
                <w:szCs w:val="13"/>
                <w:color w:val="auto"/>
              </w:rPr>
              <w:t>(61,922)</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40" w:type="dxa"/>
            <w:vAlign w:val="bottom"/>
            <w:gridSpan w:val="2"/>
          </w:tcPr>
          <w:p>
            <w:pPr>
              <w:jc w:val="right"/>
              <w:ind w:right="80"/>
              <w:spacing w:after="0" w:line="142" w:lineRule="exact"/>
              <w:rPr>
                <w:sz w:val="20"/>
                <w:szCs w:val="20"/>
                <w:color w:val="auto"/>
              </w:rPr>
            </w:pPr>
            <w:r>
              <w:rPr>
                <w:rFonts w:ascii="Arial" w:cs="Arial" w:eastAsia="Arial" w:hAnsi="Arial"/>
                <w:sz w:val="13"/>
                <w:szCs w:val="13"/>
                <w:color w:val="auto"/>
              </w:rPr>
              <w:t>(65,509)</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840" w:type="dxa"/>
            <w:vAlign w:val="bottom"/>
            <w:tcBorders>
              <w:bottom w:val="single" w:sz="8" w:color="CFF0FC"/>
            </w:tcBorders>
            <w:shd w:val="clear" w:color="auto" w:fill="CFF0FC"/>
          </w:tcPr>
          <w:p>
            <w:pPr>
              <w:spacing w:after="0" w:line="134" w:lineRule="exact"/>
              <w:rPr>
                <w:sz w:val="20"/>
                <w:szCs w:val="20"/>
                <w:color w:val="auto"/>
              </w:rPr>
            </w:pPr>
            <w:r>
              <w:rPr>
                <w:rFonts w:ascii="Arial" w:cs="Arial" w:eastAsia="Arial" w:hAnsi="Arial"/>
                <w:sz w:val="13"/>
                <w:szCs w:val="13"/>
                <w:color w:val="auto"/>
              </w:rPr>
              <w:t>Total shareholders’ equity</w:t>
            </w:r>
          </w:p>
        </w:tc>
        <w:tc>
          <w:tcPr>
            <w:tcW w:w="1120" w:type="dxa"/>
            <w:vAlign w:val="bottom"/>
            <w:tcBorders>
              <w:bottom w:val="single" w:sz="8" w:color="CFF0FC"/>
            </w:tcBorders>
            <w:shd w:val="clear" w:color="auto" w:fill="CFF0FC"/>
          </w:tcPr>
          <w:p>
            <w:pPr>
              <w:spacing w:after="0"/>
              <w:rPr>
                <w:sz w:val="11"/>
                <w:szCs w:val="11"/>
                <w:color w:val="auto"/>
              </w:rPr>
            </w:pPr>
          </w:p>
        </w:tc>
        <w:tc>
          <w:tcPr>
            <w:tcW w:w="1460" w:type="dxa"/>
            <w:vAlign w:val="bottom"/>
            <w:tcBorders>
              <w:top w:val="single" w:sz="8" w:color="auto"/>
              <w:bottom w:val="single" w:sz="8" w:color="auto"/>
            </w:tcBorders>
            <w:shd w:val="clear" w:color="auto" w:fill="CFF0FC"/>
          </w:tcPr>
          <w:p>
            <w:pPr>
              <w:spacing w:after="0"/>
              <w:rPr>
                <w:sz w:val="11"/>
                <w:szCs w:val="11"/>
                <w:color w:val="auto"/>
              </w:rPr>
            </w:pPr>
          </w:p>
        </w:tc>
        <w:tc>
          <w:tcPr>
            <w:tcW w:w="500" w:type="dxa"/>
            <w:vAlign w:val="bottom"/>
            <w:tcBorders>
              <w:top w:val="single" w:sz="8" w:color="auto"/>
              <w:bottom w:val="single" w:sz="8" w:color="auto"/>
            </w:tcBorders>
            <w:shd w:val="clear" w:color="auto" w:fill="CFF0FC"/>
          </w:tcPr>
          <w:p>
            <w:pPr>
              <w:jc w:val="right"/>
              <w:spacing w:after="0" w:line="134" w:lineRule="exact"/>
              <w:rPr>
                <w:sz w:val="20"/>
                <w:szCs w:val="20"/>
                <w:color w:val="auto"/>
              </w:rPr>
            </w:pPr>
            <w:r>
              <w:rPr>
                <w:rFonts w:ascii="Arial" w:cs="Arial" w:eastAsia="Arial" w:hAnsi="Arial"/>
                <w:sz w:val="13"/>
                <w:szCs w:val="13"/>
                <w:color w:val="auto"/>
                <w:w w:val="97"/>
              </w:rPr>
              <w:t>231,871</w:t>
            </w:r>
          </w:p>
        </w:tc>
        <w:tc>
          <w:tcPr>
            <w:tcW w:w="16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300" w:type="dxa"/>
            <w:vAlign w:val="bottom"/>
            <w:tcBorders>
              <w:top w:val="single" w:sz="8" w:color="auto"/>
              <w:bottom w:val="single" w:sz="8" w:color="auto"/>
            </w:tcBorders>
            <w:shd w:val="clear" w:color="auto" w:fill="CFF0FC"/>
          </w:tcPr>
          <w:p>
            <w:pPr>
              <w:spacing w:after="0"/>
              <w:rPr>
                <w:sz w:val="11"/>
                <w:szCs w:val="11"/>
                <w:color w:val="auto"/>
              </w:rPr>
            </w:pPr>
          </w:p>
        </w:tc>
        <w:tc>
          <w:tcPr>
            <w:tcW w:w="1620" w:type="dxa"/>
            <w:vAlign w:val="bottom"/>
            <w:tcBorders>
              <w:top w:val="single" w:sz="8" w:color="auto"/>
              <w:bottom w:val="single" w:sz="8" w:color="auto"/>
            </w:tcBorders>
            <w:shd w:val="clear" w:color="auto" w:fill="CFF0FC"/>
          </w:tcPr>
          <w:p>
            <w:pPr>
              <w:jc w:val="right"/>
              <w:spacing w:after="0" w:line="134" w:lineRule="exact"/>
              <w:rPr>
                <w:sz w:val="20"/>
                <w:szCs w:val="20"/>
                <w:color w:val="auto"/>
              </w:rPr>
            </w:pPr>
            <w:r>
              <w:rPr>
                <w:rFonts w:ascii="Arial" w:cs="Arial" w:eastAsia="Arial" w:hAnsi="Arial"/>
                <w:sz w:val="13"/>
                <w:szCs w:val="13"/>
                <w:color w:val="auto"/>
              </w:rPr>
              <w:t>249,471</w:t>
            </w:r>
          </w:p>
        </w:tc>
        <w:tc>
          <w:tcPr>
            <w:tcW w:w="12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5860" w:type="dxa"/>
            <w:vAlign w:val="bottom"/>
            <w:gridSpan w:val="2"/>
          </w:tcPr>
          <w:p>
            <w:pPr>
              <w:spacing w:after="0" w:line="134" w:lineRule="exact"/>
              <w:rPr>
                <w:sz w:val="20"/>
                <w:szCs w:val="20"/>
                <w:color w:val="auto"/>
              </w:rPr>
            </w:pPr>
            <w:r>
              <w:rPr>
                <w:rFonts w:ascii="Arial" w:cs="Arial" w:eastAsia="Arial" w:hAnsi="Arial"/>
                <w:sz w:val="13"/>
                <w:szCs w:val="13"/>
                <w:color w:val="auto"/>
              </w:rPr>
              <w:t>Total liabilities and shareholders’ equity</w:t>
            </w:r>
          </w:p>
        </w:tc>
        <w:tc>
          <w:tcPr>
            <w:tcW w:w="1120" w:type="dxa"/>
            <w:vAlign w:val="bottom"/>
          </w:tcPr>
          <w:p>
            <w:pPr>
              <w:spacing w:after="0"/>
              <w:rPr>
                <w:sz w:val="11"/>
                <w:szCs w:val="11"/>
                <w:color w:val="auto"/>
              </w:rPr>
            </w:pPr>
          </w:p>
        </w:tc>
        <w:tc>
          <w:tcPr>
            <w:tcW w:w="1460" w:type="dxa"/>
            <w:vAlign w:val="bottom"/>
            <w:tcBorders>
              <w:bottom w:val="single" w:sz="8" w:color="auto"/>
            </w:tcBorders>
          </w:tcPr>
          <w:p>
            <w:pPr>
              <w:jc w:val="right"/>
              <w:ind w:right="1317"/>
              <w:spacing w:after="0" w:line="122" w:lineRule="exact"/>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color w:val="auto"/>
                <w:w w:val="97"/>
              </w:rPr>
              <w:t>392,374</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Borders>
              <w:bottom w:val="single" w:sz="8" w:color="auto"/>
            </w:tcBorders>
          </w:tcPr>
          <w:p>
            <w:pPr>
              <w:jc w:val="right"/>
              <w:ind w:right="193"/>
              <w:spacing w:after="0"/>
              <w:rPr>
                <w:sz w:val="20"/>
                <w:szCs w:val="20"/>
                <w:color w:val="auto"/>
              </w:rPr>
            </w:pPr>
            <w:r>
              <w:rPr>
                <w:rFonts w:ascii="Arial" w:cs="Arial" w:eastAsia="Arial" w:hAnsi="Arial"/>
                <w:sz w:val="9"/>
                <w:szCs w:val="9"/>
                <w:color w:val="auto"/>
                <w:w w:val="78"/>
              </w:rPr>
              <w:t>$</w:t>
            </w:r>
          </w:p>
        </w:tc>
        <w:tc>
          <w:tcPr>
            <w:tcW w:w="162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426,868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7"/>
        </w:trPr>
        <w:tc>
          <w:tcPr>
            <w:tcW w:w="20" w:type="dxa"/>
            <w:vAlign w:val="bottom"/>
            <w:tcBorders>
              <w:bottom w:val="single" w:sz="8" w:color="9A9A9A"/>
            </w:tcBorders>
          </w:tcPr>
          <w:p>
            <w:pPr>
              <w:spacing w:after="0"/>
              <w:rPr>
                <w:sz w:val="24"/>
                <w:szCs w:val="24"/>
                <w:color w:val="auto"/>
              </w:rPr>
            </w:pPr>
          </w:p>
        </w:tc>
        <w:tc>
          <w:tcPr>
            <w:tcW w:w="58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5673725</wp:posOffset>
            </wp:positionH>
            <wp:positionV relativeFrom="paragraph">
              <wp:posOffset>-3408680</wp:posOffset>
            </wp:positionV>
            <wp:extent cx="6731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-3408680</wp:posOffset>
            </wp:positionV>
            <wp:extent cx="6731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5673725</wp:posOffset>
            </wp:positionH>
            <wp:positionV relativeFrom="paragraph">
              <wp:posOffset>-3041015</wp:posOffset>
            </wp:positionV>
            <wp:extent cx="6731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-3041015</wp:posOffset>
            </wp:positionV>
            <wp:extent cx="6731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5673725</wp:posOffset>
            </wp:positionH>
            <wp:positionV relativeFrom="paragraph">
              <wp:posOffset>-2289810</wp:posOffset>
            </wp:positionV>
            <wp:extent cx="6731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-2289810</wp:posOffset>
            </wp:positionV>
            <wp:extent cx="6731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5673725</wp:posOffset>
            </wp:positionH>
            <wp:positionV relativeFrom="paragraph">
              <wp:posOffset>-1726565</wp:posOffset>
            </wp:positionV>
            <wp:extent cx="6731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-1726565</wp:posOffset>
            </wp:positionV>
            <wp:extent cx="67310"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5673725</wp:posOffset>
            </wp:positionH>
            <wp:positionV relativeFrom="paragraph">
              <wp:posOffset>-990600</wp:posOffset>
            </wp:positionV>
            <wp:extent cx="67310"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-990600</wp:posOffset>
            </wp:positionV>
            <wp:extent cx="67310"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8" w:name="page9"/>
    <w:bookmarkEnd w:id="8"/>
    <w:p>
      <w:pPr>
        <w:spacing w:after="0" w:line="32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449580</wp:posOffset>
            </wp:positionV>
            <wp:extent cx="1081405" cy="4057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1081405" cy="40576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3"/>
          <w:szCs w:val="13"/>
          <w:b w:val="1"/>
          <w:bCs w:val="1"/>
          <w:color w:val="auto"/>
        </w:rPr>
        <w:t>CONDENSED CONSOLIDATED STATEMENTS OF CASH FLOWS</w:t>
      </w:r>
    </w:p>
    <w:p>
      <w:pPr>
        <w:jc w:val="center"/>
        <w:ind w:right="20"/>
        <w:spacing w:after="0" w:line="234" w:lineRule="auto"/>
        <w:rPr>
          <w:sz w:val="20"/>
          <w:szCs w:val="20"/>
          <w:color w:val="auto"/>
        </w:rPr>
      </w:pPr>
      <w:r>
        <w:rPr>
          <w:rFonts w:ascii="Arial" w:cs="Arial" w:eastAsia="Arial" w:hAnsi="Arial"/>
          <w:sz w:val="13"/>
          <w:szCs w:val="13"/>
          <w:b w:val="1"/>
          <w:bCs w:val="1"/>
          <w:color w:val="auto"/>
        </w:rPr>
        <w:t>(Unaudited)</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59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80" w:type="dxa"/>
            <w:vAlign w:val="bottom"/>
            <w:gridSpan w:val="7"/>
          </w:tcPr>
          <w:p>
            <w:pPr>
              <w:jc w:val="right"/>
              <w:ind w:right="1280"/>
              <w:spacing w:after="0"/>
              <w:rPr>
                <w:sz w:val="20"/>
                <w:szCs w:val="20"/>
                <w:color w:val="auto"/>
              </w:rPr>
            </w:pPr>
            <w:r>
              <w:rPr>
                <w:rFonts w:ascii="Arial" w:cs="Arial" w:eastAsia="Arial" w:hAnsi="Arial"/>
                <w:sz w:val="13"/>
                <w:szCs w:val="13"/>
                <w:b w:val="1"/>
                <w:bCs w:val="1"/>
                <w:color w:val="auto"/>
              </w:rPr>
              <w:t>For the Nine Months Ended</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9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38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b w:val="1"/>
                <w:bCs w:val="1"/>
                <w:color w:val="auto"/>
              </w:rPr>
              <w:t>March 29, 2026</w:t>
            </w:r>
          </w:p>
        </w:tc>
        <w:tc>
          <w:tcPr>
            <w:tcW w:w="46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80" w:type="dxa"/>
            <w:vAlign w:val="bottom"/>
            <w:tcBorders>
              <w:top w:val="single" w:sz="8" w:color="auto"/>
              <w:bottom w:val="single" w:sz="8" w:color="auto"/>
            </w:tcBorders>
          </w:tcPr>
          <w:p>
            <w:pPr>
              <w:spacing w:after="0"/>
              <w:rPr>
                <w:sz w:val="11"/>
                <w:szCs w:val="11"/>
                <w:color w:val="auto"/>
              </w:rPr>
            </w:pPr>
          </w:p>
        </w:tc>
        <w:tc>
          <w:tcPr>
            <w:tcW w:w="1560" w:type="dxa"/>
            <w:vAlign w:val="bottom"/>
            <w:tcBorders>
              <w:top w:val="single" w:sz="8" w:color="auto"/>
              <w:bottom w:val="single" w:sz="8" w:color="auto"/>
            </w:tcBorders>
          </w:tcPr>
          <w:p>
            <w:pPr>
              <w:jc w:val="right"/>
              <w:ind w:right="417"/>
              <w:spacing w:after="0" w:line="134" w:lineRule="exact"/>
              <w:rPr>
                <w:sz w:val="20"/>
                <w:szCs w:val="20"/>
                <w:color w:val="auto"/>
              </w:rPr>
            </w:pPr>
            <w:r>
              <w:rPr>
                <w:rFonts w:ascii="Arial" w:cs="Arial" w:eastAsia="Arial" w:hAnsi="Arial"/>
                <w:sz w:val="13"/>
                <w:szCs w:val="13"/>
                <w:b w:val="1"/>
                <w:bCs w:val="1"/>
                <w:color w:val="auto"/>
              </w:rPr>
              <w:t>March 30, 2025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9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Cash and cash equivalents at beginning of period</w:t>
            </w:r>
          </w:p>
        </w:tc>
        <w:tc>
          <w:tcPr>
            <w:tcW w:w="2620" w:type="dxa"/>
            <w:vAlign w:val="bottom"/>
            <w:gridSpan w:val="2"/>
            <w:shd w:val="clear" w:color="auto" w:fill="CFF0FC"/>
          </w:tcPr>
          <w:p>
            <w:pPr>
              <w:jc w:val="right"/>
              <w:ind w:right="1237"/>
              <w:spacing w:after="0" w:line="134" w:lineRule="exact"/>
              <w:rPr>
                <w:sz w:val="20"/>
                <w:szCs w:val="20"/>
                <w:color w:val="auto"/>
              </w:rPr>
            </w:pPr>
            <w:r>
              <w:rPr>
                <w:rFonts w:ascii="Arial" w:cs="Arial" w:eastAsia="Arial" w:hAnsi="Arial"/>
                <w:sz w:val="13"/>
                <w:szCs w:val="13"/>
                <w:color w:val="auto"/>
              </w:rPr>
              <w:t>$</w:t>
            </w:r>
          </w:p>
        </w:tc>
        <w:tc>
          <w:tcPr>
            <w:tcW w:w="46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22,664</w:t>
            </w:r>
          </w:p>
        </w:tc>
        <w:tc>
          <w:tcPr>
            <w:tcW w:w="160" w:type="dxa"/>
            <w:vAlign w:val="bottom"/>
            <w:shd w:val="clear" w:color="auto" w:fill="CFF0FC"/>
          </w:tcPr>
          <w:p>
            <w:pPr>
              <w:spacing w:after="0"/>
              <w:rPr>
                <w:sz w:val="11"/>
                <w:szCs w:val="11"/>
                <w:color w:val="auto"/>
              </w:rPr>
            </w:pPr>
          </w:p>
        </w:tc>
        <w:tc>
          <w:tcPr>
            <w:tcW w:w="400" w:type="dxa"/>
            <w:vAlign w:val="bottom"/>
            <w:gridSpan w:val="2"/>
            <w:shd w:val="clear" w:color="auto" w:fill="CFF0FC"/>
          </w:tcPr>
          <w:p>
            <w:pPr>
              <w:jc w:val="right"/>
              <w:ind w:right="137"/>
              <w:spacing w:after="0" w:line="134" w:lineRule="exact"/>
              <w:rPr>
                <w:sz w:val="20"/>
                <w:szCs w:val="20"/>
                <w:color w:val="auto"/>
              </w:rPr>
            </w:pPr>
            <w:r>
              <w:rPr>
                <w:rFonts w:ascii="Arial" w:cs="Arial" w:eastAsia="Arial" w:hAnsi="Arial"/>
                <w:sz w:val="13"/>
                <w:szCs w:val="13"/>
                <w:color w:val="auto"/>
              </w:rPr>
              <w:t>$</w:t>
            </w:r>
          </w:p>
        </w:tc>
        <w:tc>
          <w:tcPr>
            <w:tcW w:w="156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26,805</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20" w:type="dxa"/>
            <w:vAlign w:val="bottom"/>
          </w:tcPr>
          <w:p>
            <w:pPr>
              <w:spacing w:after="0" w:line="142" w:lineRule="exact"/>
              <w:rPr>
                <w:sz w:val="20"/>
                <w:szCs w:val="20"/>
                <w:color w:val="auto"/>
              </w:rPr>
            </w:pPr>
            <w:r>
              <w:rPr>
                <w:rFonts w:ascii="Arial" w:cs="Arial" w:eastAsia="Arial" w:hAnsi="Arial"/>
                <w:sz w:val="13"/>
                <w:szCs w:val="13"/>
                <w:i w:val="1"/>
                <w:iCs w:val="1"/>
                <w:color w:val="auto"/>
              </w:rPr>
              <w:t>Operating activities:</w:t>
            </w:r>
          </w:p>
        </w:tc>
        <w:tc>
          <w:tcPr>
            <w:tcW w:w="12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2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Net loss</w:t>
            </w:r>
          </w:p>
        </w:tc>
        <w:tc>
          <w:tcPr>
            <w:tcW w:w="124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120"/>
              <w:spacing w:after="0" w:line="142" w:lineRule="exact"/>
              <w:rPr>
                <w:sz w:val="20"/>
                <w:szCs w:val="20"/>
                <w:color w:val="auto"/>
              </w:rPr>
            </w:pPr>
            <w:r>
              <w:rPr>
                <w:rFonts w:ascii="Arial" w:cs="Arial" w:eastAsia="Arial" w:hAnsi="Arial"/>
                <w:sz w:val="13"/>
                <w:szCs w:val="13"/>
                <w:color w:val="auto"/>
                <w:w w:val="99"/>
              </w:rPr>
              <w:t>(23,369)</w:t>
            </w: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680" w:type="dxa"/>
            <w:vAlign w:val="bottom"/>
            <w:gridSpan w:val="2"/>
            <w:shd w:val="clear" w:color="auto" w:fill="CFF0FC"/>
          </w:tcPr>
          <w:p>
            <w:pPr>
              <w:jc w:val="right"/>
              <w:ind w:right="80"/>
              <w:spacing w:after="0" w:line="142" w:lineRule="exact"/>
              <w:rPr>
                <w:sz w:val="20"/>
                <w:szCs w:val="20"/>
                <w:color w:val="auto"/>
              </w:rPr>
            </w:pPr>
            <w:r>
              <w:rPr>
                <w:rFonts w:ascii="Arial" w:cs="Arial" w:eastAsia="Arial" w:hAnsi="Arial"/>
                <w:sz w:val="13"/>
                <w:szCs w:val="13"/>
                <w:color w:val="auto"/>
              </w:rPr>
              <w:t>(35,818)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20" w:type="dxa"/>
            <w:vAlign w:val="bottom"/>
          </w:tcPr>
          <w:p>
            <w:pPr>
              <w:spacing w:after="0" w:line="142" w:lineRule="exact"/>
              <w:rPr>
                <w:sz w:val="20"/>
                <w:szCs w:val="20"/>
                <w:color w:val="auto"/>
              </w:rPr>
            </w:pPr>
            <w:r>
              <w:rPr>
                <w:rFonts w:ascii="Arial" w:cs="Arial" w:eastAsia="Arial" w:hAnsi="Arial"/>
                <w:sz w:val="13"/>
                <w:szCs w:val="13"/>
                <w:color w:val="auto"/>
              </w:rPr>
              <w:t>Adjustments to reconcile net loss to net cash provided (used) by operating activities:</w:t>
            </w:r>
          </w:p>
        </w:tc>
        <w:tc>
          <w:tcPr>
            <w:tcW w:w="12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20" w:type="dxa"/>
            <w:vAlign w:val="bottom"/>
            <w:shd w:val="clear" w:color="auto" w:fill="CFF0FC"/>
          </w:tcPr>
          <w:p>
            <w:pPr>
              <w:ind w:left="40"/>
              <w:spacing w:after="0" w:line="142" w:lineRule="exact"/>
              <w:rPr>
                <w:sz w:val="20"/>
                <w:szCs w:val="20"/>
                <w:color w:val="auto"/>
              </w:rPr>
            </w:pPr>
            <w:r>
              <w:rPr>
                <w:rFonts w:ascii="Arial" w:cs="Arial" w:eastAsia="Arial" w:hAnsi="Arial"/>
                <w:sz w:val="13"/>
                <w:szCs w:val="13"/>
                <w:color w:val="auto"/>
              </w:rPr>
              <w:t>Equity in loss of unconsolidated affiliate</w:t>
            </w:r>
          </w:p>
        </w:tc>
        <w:tc>
          <w:tcPr>
            <w:tcW w:w="124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289</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56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467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20" w:type="dxa"/>
            <w:vAlign w:val="bottom"/>
          </w:tcPr>
          <w:p>
            <w:pPr>
              <w:ind w:left="40"/>
              <w:spacing w:after="0" w:line="142" w:lineRule="exact"/>
              <w:rPr>
                <w:sz w:val="20"/>
                <w:szCs w:val="20"/>
                <w:color w:val="auto"/>
              </w:rPr>
            </w:pPr>
            <w:r>
              <w:rPr>
                <w:rFonts w:ascii="Arial" w:cs="Arial" w:eastAsia="Arial" w:hAnsi="Arial"/>
                <w:sz w:val="13"/>
                <w:szCs w:val="13"/>
                <w:color w:val="auto"/>
              </w:rPr>
              <w:t>Depreciation and amortization expense</w:t>
            </w:r>
          </w:p>
        </w:tc>
        <w:tc>
          <w:tcPr>
            <w:tcW w:w="12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Arial" w:cs="Arial" w:eastAsia="Arial" w:hAnsi="Arial"/>
                <w:sz w:val="13"/>
                <w:szCs w:val="13"/>
                <w:color w:val="auto"/>
              </w:rPr>
              <w:t>18,100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tcPr>
          <w:p>
            <w:pPr>
              <w:jc w:val="right"/>
              <w:spacing w:after="0" w:line="142" w:lineRule="exact"/>
              <w:rPr>
                <w:sz w:val="20"/>
                <w:szCs w:val="20"/>
                <w:color w:val="auto"/>
              </w:rPr>
            </w:pPr>
            <w:r>
              <w:rPr>
                <w:rFonts w:ascii="Arial" w:cs="Arial" w:eastAsia="Arial" w:hAnsi="Arial"/>
                <w:sz w:val="13"/>
                <w:szCs w:val="13"/>
                <w:color w:val="auto"/>
              </w:rPr>
              <w:t>19,200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20" w:type="dxa"/>
            <w:vAlign w:val="bottom"/>
            <w:shd w:val="clear" w:color="auto" w:fill="CFF0FC"/>
          </w:tcPr>
          <w:p>
            <w:pPr>
              <w:ind w:left="40"/>
              <w:spacing w:after="0" w:line="142" w:lineRule="exact"/>
              <w:rPr>
                <w:sz w:val="20"/>
                <w:szCs w:val="20"/>
                <w:color w:val="auto"/>
              </w:rPr>
            </w:pPr>
            <w:r>
              <w:rPr>
                <w:rFonts w:ascii="Arial" w:cs="Arial" w:eastAsia="Arial" w:hAnsi="Arial"/>
                <w:sz w:val="13"/>
                <w:szCs w:val="13"/>
                <w:color w:val="auto"/>
              </w:rPr>
              <w:t>Non-cash compensation expense</w:t>
            </w:r>
          </w:p>
        </w:tc>
        <w:tc>
          <w:tcPr>
            <w:tcW w:w="124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2,431</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56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2,442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20" w:type="dxa"/>
            <w:vAlign w:val="bottom"/>
          </w:tcPr>
          <w:p>
            <w:pPr>
              <w:ind w:left="40"/>
              <w:spacing w:after="0" w:line="142" w:lineRule="exact"/>
              <w:rPr>
                <w:sz w:val="20"/>
                <w:szCs w:val="20"/>
                <w:color w:val="auto"/>
              </w:rPr>
            </w:pPr>
            <w:r>
              <w:rPr>
                <w:rFonts w:ascii="Arial" w:cs="Arial" w:eastAsia="Arial" w:hAnsi="Arial"/>
                <w:sz w:val="13"/>
                <w:szCs w:val="13"/>
                <w:color w:val="auto"/>
              </w:rPr>
              <w:t>Gain on foreign currency transaction, net</w:t>
            </w:r>
          </w:p>
        </w:tc>
        <w:tc>
          <w:tcPr>
            <w:tcW w:w="12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20" w:type="dxa"/>
            <w:vAlign w:val="bottom"/>
            <w:gridSpan w:val="2"/>
          </w:tcPr>
          <w:p>
            <w:pPr>
              <w:jc w:val="right"/>
              <w:ind w:right="120"/>
              <w:spacing w:after="0" w:line="142" w:lineRule="exact"/>
              <w:rPr>
                <w:sz w:val="20"/>
                <w:szCs w:val="20"/>
                <w:color w:val="auto"/>
              </w:rPr>
            </w:pPr>
            <w:r>
              <w:rPr>
                <w:rFonts w:ascii="Arial" w:cs="Arial" w:eastAsia="Arial" w:hAnsi="Arial"/>
                <w:sz w:val="13"/>
                <w:szCs w:val="13"/>
                <w:color w:val="auto"/>
              </w:rPr>
              <w:t>(1,775)</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80" w:type="dxa"/>
            <w:vAlign w:val="bottom"/>
            <w:gridSpan w:val="2"/>
          </w:tcPr>
          <w:p>
            <w:pPr>
              <w:jc w:val="right"/>
              <w:ind w:right="120"/>
              <w:spacing w:after="0" w:line="142"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20" w:type="dxa"/>
            <w:vAlign w:val="bottom"/>
            <w:shd w:val="clear" w:color="auto" w:fill="CFF0FC"/>
          </w:tcPr>
          <w:p>
            <w:pPr>
              <w:ind w:left="40"/>
              <w:spacing w:after="0" w:line="142" w:lineRule="exact"/>
              <w:rPr>
                <w:sz w:val="20"/>
                <w:szCs w:val="20"/>
                <w:color w:val="auto"/>
              </w:rPr>
            </w:pPr>
            <w:r>
              <w:rPr>
                <w:rFonts w:ascii="Arial" w:cs="Arial" w:eastAsia="Arial" w:hAnsi="Arial"/>
                <w:sz w:val="13"/>
                <w:szCs w:val="13"/>
                <w:color w:val="auto"/>
              </w:rPr>
              <w:t>Gain on sale of assets</w:t>
            </w:r>
          </w:p>
        </w:tc>
        <w:tc>
          <w:tcPr>
            <w:tcW w:w="124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120"/>
              <w:spacing w:after="0" w:line="142" w:lineRule="exact"/>
              <w:rPr>
                <w:sz w:val="20"/>
                <w:szCs w:val="20"/>
                <w:color w:val="auto"/>
              </w:rPr>
            </w:pPr>
            <w:r>
              <w:rPr>
                <w:rFonts w:ascii="Arial" w:cs="Arial" w:eastAsia="Arial" w:hAnsi="Arial"/>
                <w:sz w:val="13"/>
                <w:szCs w:val="13"/>
                <w:color w:val="auto"/>
              </w:rPr>
              <w:t>(308)</w:t>
            </w: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680" w:type="dxa"/>
            <w:vAlign w:val="bottom"/>
            <w:gridSpan w:val="2"/>
            <w:shd w:val="clear" w:color="auto" w:fill="CFF0FC"/>
          </w:tcPr>
          <w:p>
            <w:pPr>
              <w:jc w:val="right"/>
              <w:ind w:right="80"/>
              <w:spacing w:after="0" w:line="142" w:lineRule="exact"/>
              <w:rPr>
                <w:sz w:val="20"/>
                <w:szCs w:val="20"/>
                <w:color w:val="auto"/>
              </w:rPr>
            </w:pPr>
            <w:r>
              <w:rPr>
                <w:rFonts w:ascii="Arial" w:cs="Arial" w:eastAsia="Arial" w:hAnsi="Arial"/>
                <w:sz w:val="13"/>
                <w:szCs w:val="13"/>
                <w:color w:val="auto"/>
              </w:rPr>
              <w:t>(4,296)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20" w:type="dxa"/>
            <w:vAlign w:val="bottom"/>
          </w:tcPr>
          <w:p>
            <w:pPr>
              <w:ind w:left="40"/>
              <w:spacing w:after="0" w:line="142" w:lineRule="exact"/>
              <w:rPr>
                <w:sz w:val="20"/>
                <w:szCs w:val="20"/>
                <w:color w:val="auto"/>
              </w:rPr>
            </w:pPr>
            <w:r>
              <w:rPr>
                <w:rFonts w:ascii="Arial" w:cs="Arial" w:eastAsia="Arial" w:hAnsi="Arial"/>
                <w:sz w:val="13"/>
                <w:szCs w:val="13"/>
                <w:color w:val="auto"/>
              </w:rPr>
              <w:t>Deferred income taxes</w:t>
            </w:r>
          </w:p>
        </w:tc>
        <w:tc>
          <w:tcPr>
            <w:tcW w:w="12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Arial" w:cs="Arial" w:eastAsia="Arial" w:hAnsi="Arial"/>
                <w:sz w:val="13"/>
                <w:szCs w:val="13"/>
                <w:color w:val="auto"/>
              </w:rPr>
              <w:t>231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tcPr>
          <w:p>
            <w:pPr>
              <w:jc w:val="right"/>
              <w:spacing w:after="0" w:line="142" w:lineRule="exact"/>
              <w:rPr>
                <w:sz w:val="20"/>
                <w:szCs w:val="20"/>
                <w:color w:val="auto"/>
              </w:rPr>
            </w:pPr>
            <w:r>
              <w:rPr>
                <w:rFonts w:ascii="Arial" w:cs="Arial" w:eastAsia="Arial" w:hAnsi="Arial"/>
                <w:sz w:val="13"/>
                <w:szCs w:val="13"/>
                <w:color w:val="auto"/>
              </w:rPr>
              <w:t>563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20" w:type="dxa"/>
            <w:vAlign w:val="bottom"/>
            <w:shd w:val="clear" w:color="auto" w:fill="CFF0FC"/>
          </w:tcPr>
          <w:p>
            <w:pPr>
              <w:ind w:left="40"/>
              <w:spacing w:after="0" w:line="142" w:lineRule="exact"/>
              <w:rPr>
                <w:sz w:val="20"/>
                <w:szCs w:val="20"/>
                <w:color w:val="auto"/>
              </w:rPr>
            </w:pPr>
            <w:r>
              <w:rPr>
                <w:rFonts w:ascii="Arial" w:cs="Arial" w:eastAsia="Arial" w:hAnsi="Arial"/>
                <w:sz w:val="13"/>
                <w:szCs w:val="13"/>
                <w:color w:val="auto"/>
              </w:rPr>
              <w:t>Other, net</w:t>
            </w:r>
          </w:p>
        </w:tc>
        <w:tc>
          <w:tcPr>
            <w:tcW w:w="124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198</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56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1,525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20" w:type="dxa"/>
            <w:vAlign w:val="bottom"/>
          </w:tcPr>
          <w:p>
            <w:pPr>
              <w:ind w:left="40"/>
              <w:spacing w:after="0" w:line="142" w:lineRule="exact"/>
              <w:rPr>
                <w:sz w:val="20"/>
                <w:szCs w:val="20"/>
                <w:color w:val="auto"/>
              </w:rPr>
            </w:pPr>
            <w:r>
              <w:rPr>
                <w:rFonts w:ascii="Arial" w:cs="Arial" w:eastAsia="Arial" w:hAnsi="Arial"/>
                <w:sz w:val="13"/>
                <w:szCs w:val="13"/>
                <w:color w:val="auto"/>
              </w:rPr>
              <w:t>Changes in assets and liabilities</w:t>
            </w:r>
          </w:p>
        </w:tc>
        <w:tc>
          <w:tcPr>
            <w:tcW w:w="12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Arial" w:cs="Arial" w:eastAsia="Arial" w:hAnsi="Arial"/>
                <w:sz w:val="13"/>
                <w:szCs w:val="13"/>
                <w:color w:val="auto"/>
              </w:rPr>
              <w:t>28,596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80" w:type="dxa"/>
            <w:vAlign w:val="bottom"/>
            <w:gridSpan w:val="2"/>
          </w:tcPr>
          <w:p>
            <w:pPr>
              <w:jc w:val="right"/>
              <w:ind w:right="80"/>
              <w:spacing w:after="0" w:line="142" w:lineRule="exact"/>
              <w:rPr>
                <w:sz w:val="20"/>
                <w:szCs w:val="20"/>
                <w:color w:val="auto"/>
              </w:rPr>
            </w:pPr>
            <w:r>
              <w:rPr>
                <w:rFonts w:ascii="Arial" w:cs="Arial" w:eastAsia="Arial" w:hAnsi="Arial"/>
                <w:sz w:val="13"/>
                <w:szCs w:val="13"/>
                <w:color w:val="auto"/>
              </w:rPr>
              <w:t>(4,077)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59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Net cash provided (used) by operating activities</w:t>
            </w:r>
          </w:p>
        </w:tc>
        <w:tc>
          <w:tcPr>
            <w:tcW w:w="1240" w:type="dxa"/>
            <w:vAlign w:val="bottom"/>
            <w:shd w:val="clear" w:color="auto" w:fill="CFF0FC"/>
          </w:tcPr>
          <w:p>
            <w:pPr>
              <w:spacing w:after="0"/>
              <w:rPr>
                <w:sz w:val="11"/>
                <w:szCs w:val="11"/>
                <w:color w:val="auto"/>
              </w:rPr>
            </w:pPr>
          </w:p>
        </w:tc>
        <w:tc>
          <w:tcPr>
            <w:tcW w:w="1380" w:type="dxa"/>
            <w:vAlign w:val="bottom"/>
            <w:shd w:val="clear" w:color="auto" w:fill="CFF0FC"/>
          </w:tcPr>
          <w:p>
            <w:pPr>
              <w:spacing w:after="0"/>
              <w:rPr>
                <w:sz w:val="11"/>
                <w:szCs w:val="11"/>
                <w:color w:val="auto"/>
              </w:rPr>
            </w:pPr>
          </w:p>
        </w:tc>
        <w:tc>
          <w:tcPr>
            <w:tcW w:w="46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24,393</w:t>
            </w: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680" w:type="dxa"/>
            <w:vAlign w:val="bottom"/>
            <w:gridSpan w:val="2"/>
            <w:shd w:val="clear" w:color="auto" w:fill="CFF0FC"/>
          </w:tcPr>
          <w:p>
            <w:pPr>
              <w:jc w:val="right"/>
              <w:ind w:right="80"/>
              <w:spacing w:after="0" w:line="134" w:lineRule="exact"/>
              <w:rPr>
                <w:sz w:val="20"/>
                <w:szCs w:val="20"/>
                <w:color w:val="auto"/>
              </w:rPr>
            </w:pPr>
            <w:r>
              <w:rPr>
                <w:rFonts w:ascii="Arial" w:cs="Arial" w:eastAsia="Arial" w:hAnsi="Arial"/>
                <w:sz w:val="13"/>
                <w:szCs w:val="13"/>
                <w:color w:val="auto"/>
              </w:rPr>
              <w:t>(19,994)</w:t>
            </w: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5920" w:type="dxa"/>
            <w:vAlign w:val="bottom"/>
            <w:tcBorders>
              <w:top w:val="single" w:sz="8" w:color="CFF0FC"/>
            </w:tcBorders>
          </w:tcPr>
          <w:p>
            <w:pPr>
              <w:spacing w:after="0"/>
              <w:rPr>
                <w:sz w:val="11"/>
                <w:szCs w:val="11"/>
                <w:color w:val="auto"/>
              </w:rPr>
            </w:pPr>
          </w:p>
        </w:tc>
        <w:tc>
          <w:tcPr>
            <w:tcW w:w="1240" w:type="dxa"/>
            <w:vAlign w:val="bottom"/>
            <w:tcBorders>
              <w:top w:val="single" w:sz="8" w:color="CFF0FC"/>
            </w:tcBorders>
          </w:tcPr>
          <w:p>
            <w:pPr>
              <w:spacing w:after="0"/>
              <w:rPr>
                <w:sz w:val="11"/>
                <w:szCs w:val="11"/>
                <w:color w:val="auto"/>
              </w:rPr>
            </w:pPr>
          </w:p>
        </w:tc>
        <w:tc>
          <w:tcPr>
            <w:tcW w:w="13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6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56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5920" w:type="dxa"/>
            <w:vAlign w:val="bottom"/>
            <w:shd w:val="clear" w:color="auto" w:fill="CFF0FC"/>
          </w:tcPr>
          <w:p>
            <w:pPr>
              <w:spacing w:after="0" w:line="142" w:lineRule="exact"/>
              <w:rPr>
                <w:sz w:val="20"/>
                <w:szCs w:val="20"/>
                <w:color w:val="auto"/>
              </w:rPr>
            </w:pPr>
            <w:r>
              <w:rPr>
                <w:rFonts w:ascii="Arial" w:cs="Arial" w:eastAsia="Arial" w:hAnsi="Arial"/>
                <w:sz w:val="13"/>
                <w:szCs w:val="13"/>
                <w:i w:val="1"/>
                <w:iCs w:val="1"/>
                <w:color w:val="auto"/>
              </w:rPr>
              <w:t>Investing activities:</w:t>
            </w:r>
          </w:p>
        </w:tc>
        <w:tc>
          <w:tcPr>
            <w:tcW w:w="124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20" w:type="dxa"/>
            <w:vAlign w:val="bottom"/>
          </w:tcPr>
          <w:p>
            <w:pPr>
              <w:spacing w:after="0" w:line="142" w:lineRule="exact"/>
              <w:rPr>
                <w:sz w:val="20"/>
                <w:szCs w:val="20"/>
                <w:color w:val="auto"/>
              </w:rPr>
            </w:pPr>
            <w:r>
              <w:rPr>
                <w:rFonts w:ascii="Arial" w:cs="Arial" w:eastAsia="Arial" w:hAnsi="Arial"/>
                <w:sz w:val="13"/>
                <w:szCs w:val="13"/>
                <w:color w:val="auto"/>
              </w:rPr>
              <w:t>Capital expenditures</w:t>
            </w:r>
          </w:p>
        </w:tc>
        <w:tc>
          <w:tcPr>
            <w:tcW w:w="12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20" w:type="dxa"/>
            <w:vAlign w:val="bottom"/>
            <w:gridSpan w:val="2"/>
          </w:tcPr>
          <w:p>
            <w:pPr>
              <w:jc w:val="right"/>
              <w:ind w:right="120"/>
              <w:spacing w:after="0" w:line="142" w:lineRule="exact"/>
              <w:rPr>
                <w:sz w:val="20"/>
                <w:szCs w:val="20"/>
                <w:color w:val="auto"/>
              </w:rPr>
            </w:pPr>
            <w:r>
              <w:rPr>
                <w:rFonts w:ascii="Arial" w:cs="Arial" w:eastAsia="Arial" w:hAnsi="Arial"/>
                <w:sz w:val="13"/>
                <w:szCs w:val="13"/>
                <w:color w:val="auto"/>
              </w:rPr>
              <w:t>(3,872)</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80" w:type="dxa"/>
            <w:vAlign w:val="bottom"/>
            <w:gridSpan w:val="2"/>
          </w:tcPr>
          <w:p>
            <w:pPr>
              <w:jc w:val="right"/>
              <w:ind w:right="80"/>
              <w:spacing w:after="0" w:line="142" w:lineRule="exact"/>
              <w:rPr>
                <w:sz w:val="20"/>
                <w:szCs w:val="20"/>
                <w:color w:val="auto"/>
              </w:rPr>
            </w:pPr>
            <w:r>
              <w:rPr>
                <w:rFonts w:ascii="Arial" w:cs="Arial" w:eastAsia="Arial" w:hAnsi="Arial"/>
                <w:sz w:val="13"/>
                <w:szCs w:val="13"/>
                <w:color w:val="auto"/>
              </w:rPr>
              <w:t>(7,915)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2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Proceeds from the sale of assets</w:t>
            </w:r>
          </w:p>
        </w:tc>
        <w:tc>
          <w:tcPr>
            <w:tcW w:w="1240" w:type="dxa"/>
            <w:vAlign w:val="bottom"/>
            <w:shd w:val="clear" w:color="auto" w:fill="CFF0FC"/>
          </w:tcPr>
          <w:p>
            <w:pPr>
              <w:spacing w:after="0"/>
              <w:rPr>
                <w:sz w:val="12"/>
                <w:szCs w:val="12"/>
                <w:color w:val="auto"/>
              </w:rPr>
            </w:pPr>
          </w:p>
        </w:tc>
        <w:tc>
          <w:tcPr>
            <w:tcW w:w="1380" w:type="dxa"/>
            <w:vAlign w:val="bottom"/>
            <w:tcBorders>
              <w:bottom w:val="single" w:sz="8" w:color="auto"/>
            </w:tcBorders>
            <w:shd w:val="clear" w:color="auto" w:fill="CFF0FC"/>
          </w:tcPr>
          <w:p>
            <w:pPr>
              <w:spacing w:after="0"/>
              <w:rPr>
                <w:sz w:val="12"/>
                <w:szCs w:val="12"/>
                <w:color w:val="auto"/>
              </w:rPr>
            </w:pPr>
          </w:p>
        </w:tc>
        <w:tc>
          <w:tcPr>
            <w:tcW w:w="4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501</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15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8,094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5940" w:type="dxa"/>
            <w:vAlign w:val="bottom"/>
            <w:gridSpan w:val="2"/>
          </w:tcPr>
          <w:p>
            <w:pPr>
              <w:spacing w:after="0" w:line="134" w:lineRule="exact"/>
              <w:rPr>
                <w:sz w:val="20"/>
                <w:szCs w:val="20"/>
                <w:color w:val="auto"/>
              </w:rPr>
            </w:pPr>
            <w:r>
              <w:rPr>
                <w:rFonts w:ascii="Arial" w:cs="Arial" w:eastAsia="Arial" w:hAnsi="Arial"/>
                <w:sz w:val="13"/>
                <w:szCs w:val="13"/>
                <w:color w:val="auto"/>
              </w:rPr>
              <w:t>Net cash (used) provided by investing activities</w:t>
            </w:r>
          </w:p>
        </w:tc>
        <w:tc>
          <w:tcPr>
            <w:tcW w:w="1240" w:type="dxa"/>
            <w:vAlign w:val="bottom"/>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(3,371)</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179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592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13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5920" w:type="dxa"/>
            <w:vAlign w:val="bottom"/>
          </w:tcPr>
          <w:p>
            <w:pPr>
              <w:spacing w:after="0" w:line="142" w:lineRule="exact"/>
              <w:rPr>
                <w:sz w:val="20"/>
                <w:szCs w:val="20"/>
                <w:color w:val="auto"/>
              </w:rPr>
            </w:pPr>
            <w:r>
              <w:rPr>
                <w:rFonts w:ascii="Arial" w:cs="Arial" w:eastAsia="Arial" w:hAnsi="Arial"/>
                <w:sz w:val="13"/>
                <w:szCs w:val="13"/>
                <w:i w:val="1"/>
                <w:iCs w:val="1"/>
                <w:color w:val="auto"/>
              </w:rPr>
              <w:t>Financing activities:</w:t>
            </w:r>
          </w:p>
        </w:tc>
        <w:tc>
          <w:tcPr>
            <w:tcW w:w="12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2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Proceeds from long-term debt</w:t>
            </w:r>
          </w:p>
        </w:tc>
        <w:tc>
          <w:tcPr>
            <w:tcW w:w="124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81,500</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56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167,150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20" w:type="dxa"/>
            <w:vAlign w:val="bottom"/>
          </w:tcPr>
          <w:p>
            <w:pPr>
              <w:spacing w:after="0" w:line="142" w:lineRule="exact"/>
              <w:rPr>
                <w:sz w:val="20"/>
                <w:szCs w:val="20"/>
                <w:color w:val="auto"/>
              </w:rPr>
            </w:pPr>
            <w:r>
              <w:rPr>
                <w:rFonts w:ascii="Arial" w:cs="Arial" w:eastAsia="Arial" w:hAnsi="Arial"/>
                <w:sz w:val="13"/>
                <w:szCs w:val="13"/>
                <w:color w:val="auto"/>
              </w:rPr>
              <w:t>Payments on long-term debt</w:t>
            </w:r>
          </w:p>
        </w:tc>
        <w:tc>
          <w:tcPr>
            <w:tcW w:w="12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20" w:type="dxa"/>
            <w:vAlign w:val="bottom"/>
            <w:gridSpan w:val="2"/>
          </w:tcPr>
          <w:p>
            <w:pPr>
              <w:jc w:val="right"/>
              <w:ind w:right="120"/>
              <w:spacing w:after="0" w:line="142" w:lineRule="exact"/>
              <w:rPr>
                <w:sz w:val="20"/>
                <w:szCs w:val="20"/>
                <w:color w:val="auto"/>
              </w:rPr>
            </w:pPr>
            <w:r>
              <w:rPr>
                <w:rFonts w:ascii="Arial" w:cs="Arial" w:eastAsia="Arial" w:hAnsi="Arial"/>
                <w:sz w:val="13"/>
                <w:szCs w:val="13"/>
                <w:color w:val="auto"/>
                <w:w w:val="99"/>
              </w:rPr>
              <w:t>(98,612)</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80" w:type="dxa"/>
            <w:vAlign w:val="bottom"/>
            <w:gridSpan w:val="2"/>
          </w:tcPr>
          <w:p>
            <w:pPr>
              <w:jc w:val="right"/>
              <w:ind w:right="80"/>
              <w:spacing w:after="0" w:line="142" w:lineRule="exact"/>
              <w:rPr>
                <w:sz w:val="20"/>
                <w:szCs w:val="20"/>
                <w:color w:val="auto"/>
              </w:rPr>
            </w:pPr>
            <w:r>
              <w:rPr>
                <w:rFonts w:ascii="Arial" w:cs="Arial" w:eastAsia="Arial" w:hAnsi="Arial"/>
                <w:sz w:val="13"/>
                <w:szCs w:val="13"/>
                <w:color w:val="auto"/>
              </w:rPr>
              <w:t>(157,447)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2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Other, net</w:t>
            </w:r>
          </w:p>
        </w:tc>
        <w:tc>
          <w:tcPr>
            <w:tcW w:w="124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120"/>
              <w:spacing w:after="0" w:line="142" w:lineRule="exact"/>
              <w:rPr>
                <w:sz w:val="20"/>
                <w:szCs w:val="20"/>
                <w:color w:val="auto"/>
              </w:rPr>
            </w:pPr>
            <w:r>
              <w:rPr>
                <w:rFonts w:ascii="Arial" w:cs="Arial" w:eastAsia="Arial" w:hAnsi="Arial"/>
                <w:sz w:val="13"/>
                <w:szCs w:val="13"/>
                <w:color w:val="auto"/>
              </w:rPr>
              <w:t>(249)</w:t>
            </w: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680" w:type="dxa"/>
            <w:vAlign w:val="bottom"/>
            <w:gridSpan w:val="2"/>
            <w:shd w:val="clear" w:color="auto" w:fill="CFF0FC"/>
          </w:tcPr>
          <w:p>
            <w:pPr>
              <w:jc w:val="right"/>
              <w:ind w:right="80"/>
              <w:spacing w:after="0" w:line="142" w:lineRule="exact"/>
              <w:rPr>
                <w:sz w:val="20"/>
                <w:szCs w:val="20"/>
                <w:color w:val="auto"/>
              </w:rPr>
            </w:pPr>
            <w:r>
              <w:rPr>
                <w:rFonts w:ascii="Arial" w:cs="Arial" w:eastAsia="Arial" w:hAnsi="Arial"/>
                <w:sz w:val="13"/>
                <w:szCs w:val="13"/>
                <w:color w:val="auto"/>
              </w:rPr>
              <w:t>(428)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shd w:val="clear" w:color="auto" w:fill="CFF0FC"/>
          </w:tcPr>
          <w:p>
            <w:pPr>
              <w:spacing w:after="0" w:line="20" w:lineRule="exact"/>
              <w:rPr>
                <w:sz w:val="1"/>
                <w:szCs w:val="1"/>
                <w:color w:val="auto"/>
              </w:rPr>
            </w:pPr>
          </w:p>
        </w:tc>
        <w:tc>
          <w:tcPr>
            <w:tcW w:w="124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5940" w:type="dxa"/>
            <w:vAlign w:val="bottom"/>
            <w:gridSpan w:val="2"/>
          </w:tcPr>
          <w:p>
            <w:pPr>
              <w:spacing w:after="0" w:line="134" w:lineRule="exact"/>
              <w:rPr>
                <w:sz w:val="20"/>
                <w:szCs w:val="20"/>
                <w:color w:val="auto"/>
              </w:rPr>
            </w:pPr>
            <w:r>
              <w:rPr>
                <w:rFonts w:ascii="Arial" w:cs="Arial" w:eastAsia="Arial" w:hAnsi="Arial"/>
                <w:sz w:val="13"/>
                <w:szCs w:val="13"/>
                <w:color w:val="auto"/>
              </w:rPr>
              <w:t>Net cash (used) provided by financing activities</w:t>
            </w:r>
          </w:p>
        </w:tc>
        <w:tc>
          <w:tcPr>
            <w:tcW w:w="12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620" w:type="dxa"/>
            <w:vAlign w:val="bottom"/>
            <w:gridSpan w:val="2"/>
          </w:tcPr>
          <w:p>
            <w:pPr>
              <w:jc w:val="right"/>
              <w:ind w:right="120"/>
              <w:spacing w:after="0" w:line="134" w:lineRule="exact"/>
              <w:rPr>
                <w:sz w:val="20"/>
                <w:szCs w:val="20"/>
                <w:color w:val="auto"/>
              </w:rPr>
            </w:pPr>
            <w:r>
              <w:rPr>
                <w:rFonts w:ascii="Arial" w:cs="Arial" w:eastAsia="Arial" w:hAnsi="Arial"/>
                <w:sz w:val="13"/>
                <w:szCs w:val="13"/>
                <w:color w:val="auto"/>
                <w:w w:val="99"/>
              </w:rPr>
              <w:t>(17,361)</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60" w:type="dxa"/>
            <w:vAlign w:val="bottom"/>
          </w:tcPr>
          <w:p>
            <w:pPr>
              <w:jc w:val="right"/>
              <w:spacing w:after="0" w:line="134" w:lineRule="exact"/>
              <w:rPr>
                <w:sz w:val="20"/>
                <w:szCs w:val="20"/>
                <w:color w:val="auto"/>
              </w:rPr>
            </w:pPr>
            <w:r>
              <w:rPr>
                <w:rFonts w:ascii="Arial" w:cs="Arial" w:eastAsia="Arial" w:hAnsi="Arial"/>
                <w:sz w:val="13"/>
                <w:szCs w:val="13"/>
                <w:color w:val="auto"/>
              </w:rPr>
              <w:t>9,275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92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1380" w:type="dxa"/>
            <w:vAlign w:val="bottom"/>
            <w:tcBorders>
              <w:top w:val="single" w:sz="8" w:color="auto"/>
            </w:tcBorders>
            <w:shd w:val="clear" w:color="auto" w:fill="CFF0FC"/>
          </w:tcPr>
          <w:p>
            <w:pPr>
              <w:spacing w:after="0"/>
              <w:rPr>
                <w:sz w:val="11"/>
                <w:szCs w:val="11"/>
                <w:color w:val="auto"/>
              </w:rPr>
            </w:pPr>
          </w:p>
        </w:tc>
        <w:tc>
          <w:tcPr>
            <w:tcW w:w="460" w:type="dxa"/>
            <w:vAlign w:val="bottom"/>
            <w:tcBorders>
              <w:top w:val="single" w:sz="8" w:color="auto"/>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156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5940" w:type="dxa"/>
            <w:vAlign w:val="bottom"/>
            <w:gridSpan w:val="2"/>
          </w:tcPr>
          <w:p>
            <w:pPr>
              <w:spacing w:after="0" w:line="142" w:lineRule="exact"/>
              <w:rPr>
                <w:sz w:val="20"/>
                <w:szCs w:val="20"/>
                <w:color w:val="auto"/>
              </w:rPr>
            </w:pPr>
            <w:r>
              <w:rPr>
                <w:rFonts w:ascii="Arial" w:cs="Arial" w:eastAsia="Arial" w:hAnsi="Arial"/>
                <w:sz w:val="13"/>
                <w:szCs w:val="13"/>
                <w:color w:val="auto"/>
              </w:rPr>
              <w:t>Effect of exchange rate changes on cash and cash equivalents</w:t>
            </w:r>
          </w:p>
        </w:tc>
        <w:tc>
          <w:tcPr>
            <w:tcW w:w="12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Arial" w:cs="Arial" w:eastAsia="Arial" w:hAnsi="Arial"/>
                <w:sz w:val="13"/>
                <w:szCs w:val="13"/>
                <w:color w:val="auto"/>
              </w:rPr>
              <w:t>236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80" w:type="dxa"/>
            <w:vAlign w:val="bottom"/>
            <w:gridSpan w:val="2"/>
          </w:tcPr>
          <w:p>
            <w:pPr>
              <w:jc w:val="right"/>
              <w:ind w:right="80"/>
              <w:spacing w:after="0" w:line="142" w:lineRule="exact"/>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59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Net increase (decrease) in cash and cash equivalents</w:t>
            </w:r>
          </w:p>
        </w:tc>
        <w:tc>
          <w:tcPr>
            <w:tcW w:w="1240" w:type="dxa"/>
            <w:vAlign w:val="bottom"/>
            <w:shd w:val="clear" w:color="auto" w:fill="CFF0FC"/>
          </w:tcPr>
          <w:p>
            <w:pPr>
              <w:spacing w:after="0"/>
              <w:rPr>
                <w:sz w:val="11"/>
                <w:szCs w:val="11"/>
                <w:color w:val="auto"/>
              </w:rPr>
            </w:pPr>
          </w:p>
        </w:tc>
        <w:tc>
          <w:tcPr>
            <w:tcW w:w="1380" w:type="dxa"/>
            <w:vAlign w:val="bottom"/>
            <w:shd w:val="clear" w:color="auto" w:fill="CFF0FC"/>
          </w:tcPr>
          <w:p>
            <w:pPr>
              <w:spacing w:after="0"/>
              <w:rPr>
                <w:sz w:val="11"/>
                <w:szCs w:val="11"/>
                <w:color w:val="auto"/>
              </w:rPr>
            </w:pPr>
          </w:p>
        </w:tc>
        <w:tc>
          <w:tcPr>
            <w:tcW w:w="46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3,897</w:t>
            </w: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680" w:type="dxa"/>
            <w:vAlign w:val="bottom"/>
            <w:gridSpan w:val="2"/>
            <w:shd w:val="clear" w:color="auto" w:fill="CFF0FC"/>
          </w:tcPr>
          <w:p>
            <w:pPr>
              <w:jc w:val="right"/>
              <w:ind w:right="80"/>
              <w:spacing w:after="0" w:line="134" w:lineRule="exact"/>
              <w:rPr>
                <w:sz w:val="20"/>
                <w:szCs w:val="20"/>
                <w:color w:val="auto"/>
              </w:rPr>
            </w:pPr>
            <w:r>
              <w:rPr>
                <w:rFonts w:ascii="Arial" w:cs="Arial" w:eastAsia="Arial" w:hAnsi="Arial"/>
                <w:sz w:val="13"/>
                <w:szCs w:val="13"/>
                <w:color w:val="auto"/>
              </w:rPr>
              <w:t>(10,550)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shd w:val="clear" w:color="auto" w:fill="CFF0FC"/>
          </w:tcPr>
          <w:p>
            <w:pPr>
              <w:spacing w:after="0" w:line="20" w:lineRule="exact"/>
              <w:rPr>
                <w:sz w:val="1"/>
                <w:szCs w:val="1"/>
                <w:color w:val="auto"/>
              </w:rPr>
            </w:pPr>
          </w:p>
        </w:tc>
        <w:tc>
          <w:tcPr>
            <w:tcW w:w="124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5940" w:type="dxa"/>
            <w:vAlign w:val="bottom"/>
            <w:gridSpan w:val="2"/>
          </w:tcPr>
          <w:p>
            <w:pPr>
              <w:spacing w:after="0" w:line="134" w:lineRule="exact"/>
              <w:rPr>
                <w:sz w:val="20"/>
                <w:szCs w:val="20"/>
                <w:color w:val="auto"/>
              </w:rPr>
            </w:pPr>
            <w:r>
              <w:rPr>
                <w:rFonts w:ascii="Arial" w:cs="Arial" w:eastAsia="Arial" w:hAnsi="Arial"/>
                <w:sz w:val="13"/>
                <w:szCs w:val="13"/>
                <w:color w:val="auto"/>
              </w:rPr>
              <w:t>Cash and cash equivalents at end of period</w:t>
            </w:r>
          </w:p>
        </w:tc>
        <w:tc>
          <w:tcPr>
            <w:tcW w:w="1240" w:type="dxa"/>
            <w:vAlign w:val="bottom"/>
          </w:tcPr>
          <w:p>
            <w:pPr>
              <w:spacing w:after="0"/>
              <w:rPr>
                <w:sz w:val="11"/>
                <w:szCs w:val="11"/>
                <w:color w:val="auto"/>
              </w:rPr>
            </w:pPr>
          </w:p>
        </w:tc>
        <w:tc>
          <w:tcPr>
            <w:tcW w:w="1380" w:type="dxa"/>
            <w:vAlign w:val="bottom"/>
            <w:tcBorders>
              <w:bottom w:val="single" w:sz="8" w:color="auto"/>
            </w:tcBorders>
          </w:tcPr>
          <w:p>
            <w:pPr>
              <w:jc w:val="right"/>
              <w:ind w:right="1237"/>
              <w:spacing w:after="0" w:line="122" w:lineRule="exact"/>
              <w:rPr>
                <w:sz w:val="20"/>
                <w:szCs w:val="20"/>
                <w:color w:val="auto"/>
              </w:rPr>
            </w:pPr>
            <w:r>
              <w:rPr>
                <w:rFonts w:ascii="Arial" w:cs="Arial" w:eastAsia="Arial" w:hAnsi="Arial"/>
                <w:sz w:val="13"/>
                <w:szCs w:val="13"/>
                <w:color w:val="auto"/>
                <w:w w:val="82"/>
              </w:rPr>
              <w:t>$</w:t>
            </w:r>
          </w:p>
        </w:tc>
        <w:tc>
          <w:tcPr>
            <w:tcW w:w="46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26,561</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Borders>
              <w:bottom w:val="single" w:sz="8" w:color="auto"/>
            </w:tcBorders>
          </w:tcPr>
          <w:p>
            <w:pPr>
              <w:jc w:val="right"/>
              <w:ind w:right="137"/>
              <w:spacing w:after="0" w:line="122" w:lineRule="exact"/>
              <w:rPr>
                <w:sz w:val="20"/>
                <w:szCs w:val="20"/>
                <w:color w:val="auto"/>
              </w:rPr>
            </w:pPr>
            <w:r>
              <w:rPr>
                <w:rFonts w:ascii="Arial" w:cs="Arial" w:eastAsia="Arial" w:hAnsi="Arial"/>
                <w:sz w:val="13"/>
                <w:szCs w:val="13"/>
                <w:color w:val="auto"/>
                <w:w w:val="82"/>
              </w:rPr>
              <w:t>$</w:t>
            </w:r>
          </w:p>
        </w:tc>
        <w:tc>
          <w:tcPr>
            <w:tcW w:w="156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16,255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7"/>
        </w:trPr>
        <w:tc>
          <w:tcPr>
            <w:tcW w:w="20" w:type="dxa"/>
            <w:vAlign w:val="bottom"/>
            <w:tcBorders>
              <w:bottom w:val="single" w:sz="8" w:color="9A9A9A"/>
            </w:tcBorders>
          </w:tcPr>
          <w:p>
            <w:pPr>
              <w:spacing w:after="0"/>
              <w:rPr>
                <w:sz w:val="24"/>
                <w:szCs w:val="24"/>
                <w:color w:val="auto"/>
              </w:rPr>
            </w:pPr>
          </w:p>
        </w:tc>
        <w:tc>
          <w:tcPr>
            <w:tcW w:w="59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5726430</wp:posOffset>
            </wp:positionH>
            <wp:positionV relativeFrom="paragraph">
              <wp:posOffset>-2297430</wp:posOffset>
            </wp:positionV>
            <wp:extent cx="67310"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-2297430</wp:posOffset>
            </wp:positionV>
            <wp:extent cx="67310"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5713730</wp:posOffset>
            </wp:positionH>
            <wp:positionV relativeFrom="paragraph">
              <wp:posOffset>-1941830</wp:posOffset>
            </wp:positionV>
            <wp:extent cx="92710" cy="1308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2710" cy="130810"/>
                    </a:xfrm>
                    <a:prstGeom prst="rect">
                      <a:avLst/>
                    </a:prstGeom>
                    <a:noFill/>
                  </pic:spPr>
                </pic:pic>
              </a:graphicData>
            </a:graphic>
          </wp:anchor>
        </w:drawing>
        <w:drawing>
          <wp:anchor simplePos="0" relativeHeight="251657728" behindDoc="1" locked="0" layoutInCell="0" allowOverlap="1">
            <wp:simplePos x="0" y="0"/>
            <wp:positionH relativeFrom="column">
              <wp:posOffset>7065645</wp:posOffset>
            </wp:positionH>
            <wp:positionV relativeFrom="paragraph">
              <wp:posOffset>-1941830</wp:posOffset>
            </wp:positionV>
            <wp:extent cx="92710" cy="1308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92710" cy="130810"/>
                    </a:xfrm>
                    <a:prstGeom prst="rect">
                      <a:avLst/>
                    </a:prstGeom>
                    <a:noFill/>
                  </pic:spPr>
                </pic:pic>
              </a:graphicData>
            </a:graphic>
          </wp:anchor>
        </w:drawing>
        <w:drawing>
          <wp:anchor simplePos="0" relativeHeight="251657728" behindDoc="1" locked="0" layoutInCell="0" allowOverlap="1">
            <wp:simplePos x="0" y="0"/>
            <wp:positionH relativeFrom="column">
              <wp:posOffset>5726430</wp:posOffset>
            </wp:positionH>
            <wp:positionV relativeFrom="paragraph">
              <wp:posOffset>-1373505</wp:posOffset>
            </wp:positionV>
            <wp:extent cx="67310"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-1373505</wp:posOffset>
            </wp:positionV>
            <wp:extent cx="67310"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5726430</wp:posOffset>
            </wp:positionH>
            <wp:positionV relativeFrom="paragraph">
              <wp:posOffset>-990600</wp:posOffset>
            </wp:positionV>
            <wp:extent cx="67310"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-990600</wp:posOffset>
            </wp:positionV>
            <wp:extent cx="67310"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9" w:name="page10"/>
    <w:bookmarkEnd w:id="9"/>
    <w:p>
      <w:pPr>
        <w:spacing w:after="0" w:line="32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449580</wp:posOffset>
            </wp:positionV>
            <wp:extent cx="1081405" cy="4057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1081405" cy="405765"/>
                    </a:xfrm>
                    <a:prstGeom prst="rect">
                      <a:avLst/>
                    </a:prstGeom>
                    <a:noFill/>
                  </pic:spPr>
                </pic:pic>
              </a:graphicData>
            </a:graphic>
          </wp:anchor>
        </w:drawing>
      </w:r>
    </w:p>
    <w:p>
      <w:pPr>
        <w:jc w:val="center"/>
        <w:ind w:right="-4"/>
        <w:spacing w:after="0"/>
        <w:rPr>
          <w:sz w:val="20"/>
          <w:szCs w:val="20"/>
          <w:color w:val="auto"/>
        </w:rPr>
      </w:pPr>
      <w:r>
        <w:rPr>
          <w:rFonts w:ascii="Arial" w:cs="Arial" w:eastAsia="Arial" w:hAnsi="Arial"/>
          <w:sz w:val="13"/>
          <w:szCs w:val="13"/>
          <w:b w:val="1"/>
          <w:bCs w:val="1"/>
          <w:color w:val="auto"/>
        </w:rPr>
        <w:t>BUSINESS SEGMENT INFORMATION</w:t>
      </w:r>
    </w:p>
    <w:p>
      <w:pPr>
        <w:jc w:val="center"/>
        <w:ind w:right="-4"/>
        <w:spacing w:after="0" w:line="234" w:lineRule="auto"/>
        <w:rPr>
          <w:sz w:val="20"/>
          <w:szCs w:val="20"/>
          <w:color w:val="auto"/>
        </w:rPr>
      </w:pPr>
      <w:r>
        <w:rPr>
          <w:rFonts w:ascii="Arial" w:cs="Arial" w:eastAsia="Arial" w:hAnsi="Arial"/>
          <w:sz w:val="13"/>
          <w:szCs w:val="13"/>
          <w:b w:val="1"/>
          <w:bCs w:val="1"/>
          <w:color w:val="auto"/>
        </w:rPr>
        <w:t>(Unaudited)</w:t>
      </w:r>
    </w:p>
    <w:p>
      <w:pPr>
        <w:spacing w:after="0" w:line="1" w:lineRule="exact"/>
        <w:rPr>
          <w:sz w:val="20"/>
          <w:szCs w:val="20"/>
          <w:color w:val="auto"/>
        </w:rPr>
      </w:pPr>
    </w:p>
    <w:p>
      <w:pPr>
        <w:jc w:val="center"/>
        <w:ind w:right="-4"/>
        <w:spacing w:after="0"/>
        <w:rPr>
          <w:sz w:val="20"/>
          <w:szCs w:val="20"/>
          <w:color w:val="auto"/>
        </w:rPr>
      </w:pPr>
      <w:r>
        <w:rPr>
          <w:rFonts w:ascii="Arial" w:cs="Arial" w:eastAsia="Arial" w:hAnsi="Arial"/>
          <w:sz w:val="13"/>
          <w:szCs w:val="13"/>
          <w:b w:val="1"/>
          <w:bCs w:val="1"/>
          <w:color w:val="auto"/>
        </w:rPr>
        <w:t>(In thousands)</w:t>
      </w:r>
    </w:p>
    <w:p>
      <w:pPr>
        <w:spacing w:after="0" w:line="75" w:lineRule="exact"/>
        <w:rPr>
          <w:sz w:val="20"/>
          <w:szCs w:val="20"/>
          <w:color w:val="auto"/>
        </w:rPr>
      </w:pPr>
    </w:p>
    <w:tbl>
      <w:tblPr>
        <w:tblLayout w:type="fixed"/>
        <w:tblInd w:w="5" w:type="dxa"/>
        <w:tblCellMar>
          <w:top w:w="0" w:type="dxa"/>
          <w:left w:w="0" w:type="dxa"/>
          <w:bottom w:w="0" w:type="dxa"/>
          <w:right w:w="0" w:type="dxa"/>
        </w:tblCellMar>
      </w:tblPr>
      <w:tr>
        <w:trPr>
          <w:trHeight w:val="166"/>
        </w:trPr>
        <w:tc>
          <w:tcPr>
            <w:tcW w:w="5440" w:type="dxa"/>
            <w:vAlign w:val="bottom"/>
            <w:gridSpan w:val="3"/>
          </w:tcPr>
          <w:p>
            <w:pPr>
              <w:spacing w:after="0"/>
              <w:rPr>
                <w:sz w:val="20"/>
                <w:szCs w:val="20"/>
                <w:color w:val="auto"/>
              </w:rPr>
            </w:pPr>
            <w:r>
              <w:rPr>
                <w:rFonts w:ascii="Arial" w:cs="Arial" w:eastAsia="Arial" w:hAnsi="Arial"/>
                <w:sz w:val="13"/>
                <w:szCs w:val="13"/>
                <w:color w:val="auto"/>
              </w:rPr>
              <w:t>Net sales and gross profit (loss) details for each reportable segment of UNIFI are as follows:</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20"/>
        </w:trPr>
        <w:tc>
          <w:tcPr>
            <w:tcW w:w="3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80" w:type="dxa"/>
            <w:vAlign w:val="bottom"/>
            <w:gridSpan w:val="4"/>
          </w:tcPr>
          <w:p>
            <w:pPr>
              <w:jc w:val="right"/>
              <w:ind w:right="957"/>
              <w:spacing w:after="0"/>
              <w:rPr>
                <w:sz w:val="20"/>
                <w:szCs w:val="20"/>
                <w:color w:val="auto"/>
              </w:rPr>
            </w:pPr>
            <w:r>
              <w:rPr>
                <w:rFonts w:ascii="Arial" w:cs="Arial" w:eastAsia="Arial" w:hAnsi="Arial"/>
                <w:sz w:val="13"/>
                <w:szCs w:val="13"/>
                <w:b w:val="1"/>
                <w:bCs w:val="1"/>
                <w:color w:val="auto"/>
              </w:rPr>
              <w:t>For the Three Months Ended</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360" w:type="dxa"/>
            <w:vAlign w:val="bottom"/>
            <w:gridSpan w:val="5"/>
          </w:tcPr>
          <w:p>
            <w:pPr>
              <w:ind w:left="700"/>
              <w:spacing w:after="0"/>
              <w:rPr>
                <w:sz w:val="20"/>
                <w:szCs w:val="20"/>
                <w:color w:val="auto"/>
              </w:rPr>
            </w:pPr>
            <w:r>
              <w:rPr>
                <w:rFonts w:ascii="Arial" w:cs="Arial" w:eastAsia="Arial" w:hAnsi="Arial"/>
                <w:sz w:val="13"/>
                <w:szCs w:val="13"/>
                <w:b w:val="1"/>
                <w:bCs w:val="1"/>
                <w:color w:val="auto"/>
              </w:rPr>
              <w:t>For the Nine Months Ended</w:t>
            </w:r>
          </w:p>
        </w:tc>
      </w:tr>
      <w:tr>
        <w:trPr>
          <w:trHeight w:val="134"/>
        </w:trPr>
        <w:tc>
          <w:tcPr>
            <w:tcW w:w="3720" w:type="dxa"/>
            <w:vAlign w:val="bottom"/>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1480" w:type="dxa"/>
            <w:vAlign w:val="bottom"/>
            <w:tcBorders>
              <w:top w:val="single" w:sz="8" w:color="auto"/>
              <w:bottom w:val="single" w:sz="8" w:color="auto"/>
            </w:tcBorders>
          </w:tcPr>
          <w:p>
            <w:pPr>
              <w:jc w:val="right"/>
              <w:ind w:right="357"/>
              <w:spacing w:after="0" w:line="134" w:lineRule="exact"/>
              <w:rPr>
                <w:sz w:val="20"/>
                <w:szCs w:val="20"/>
                <w:color w:val="auto"/>
              </w:rPr>
            </w:pPr>
            <w:r>
              <w:rPr>
                <w:rFonts w:ascii="Arial" w:cs="Arial" w:eastAsia="Arial" w:hAnsi="Arial"/>
                <w:sz w:val="13"/>
                <w:szCs w:val="13"/>
                <w:b w:val="1"/>
                <w:bCs w:val="1"/>
                <w:color w:val="auto"/>
              </w:rPr>
              <w:t>March 29, 2026</w:t>
            </w:r>
          </w:p>
        </w:tc>
        <w:tc>
          <w:tcPr>
            <w:tcW w:w="280" w:type="dxa"/>
            <w:vAlign w:val="bottom"/>
            <w:tcBorders>
              <w:top w:val="single" w:sz="8" w:color="auto"/>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1480" w:type="dxa"/>
            <w:vAlign w:val="bottom"/>
            <w:tcBorders>
              <w:top w:val="single" w:sz="8" w:color="auto"/>
              <w:bottom w:val="single" w:sz="8" w:color="auto"/>
            </w:tcBorders>
          </w:tcPr>
          <w:p>
            <w:pPr>
              <w:jc w:val="right"/>
              <w:ind w:right="357"/>
              <w:spacing w:after="0" w:line="134" w:lineRule="exact"/>
              <w:rPr>
                <w:sz w:val="20"/>
                <w:szCs w:val="20"/>
                <w:color w:val="auto"/>
              </w:rPr>
            </w:pPr>
            <w:r>
              <w:rPr>
                <w:rFonts w:ascii="Arial" w:cs="Arial" w:eastAsia="Arial" w:hAnsi="Arial"/>
                <w:sz w:val="13"/>
                <w:szCs w:val="13"/>
                <w:b w:val="1"/>
                <w:bCs w:val="1"/>
                <w:color w:val="auto"/>
              </w:rPr>
              <w:t>March 30, 2025</w:t>
            </w:r>
          </w:p>
        </w:tc>
        <w:tc>
          <w:tcPr>
            <w:tcW w:w="260" w:type="dxa"/>
            <w:vAlign w:val="bottom"/>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1400" w:type="dxa"/>
            <w:vAlign w:val="bottom"/>
            <w:tcBorders>
              <w:top w:val="single" w:sz="8" w:color="auto"/>
              <w:bottom w:val="single" w:sz="8" w:color="auto"/>
            </w:tcBorders>
          </w:tcPr>
          <w:p>
            <w:pPr>
              <w:jc w:val="right"/>
              <w:ind w:right="297"/>
              <w:spacing w:after="0" w:line="134" w:lineRule="exact"/>
              <w:rPr>
                <w:sz w:val="20"/>
                <w:szCs w:val="20"/>
                <w:color w:val="auto"/>
              </w:rPr>
            </w:pPr>
            <w:r>
              <w:rPr>
                <w:rFonts w:ascii="Arial" w:cs="Arial" w:eastAsia="Arial" w:hAnsi="Arial"/>
                <w:sz w:val="13"/>
                <w:szCs w:val="13"/>
                <w:b w:val="1"/>
                <w:bCs w:val="1"/>
                <w:color w:val="auto"/>
              </w:rPr>
              <w:t>March 29, 2026</w:t>
            </w:r>
          </w:p>
        </w:tc>
        <w:tc>
          <w:tcPr>
            <w:tcW w:w="260" w:type="dxa"/>
            <w:vAlign w:val="bottom"/>
            <w:tcBorders>
              <w:top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1380" w:type="dxa"/>
            <w:vAlign w:val="bottom"/>
            <w:tcBorders>
              <w:top w:val="single" w:sz="8" w:color="auto"/>
              <w:bottom w:val="single" w:sz="8" w:color="auto"/>
            </w:tcBorders>
          </w:tcPr>
          <w:p>
            <w:pPr>
              <w:jc w:val="right"/>
              <w:ind w:right="277"/>
              <w:spacing w:after="0" w:line="134" w:lineRule="exact"/>
              <w:rPr>
                <w:sz w:val="20"/>
                <w:szCs w:val="20"/>
                <w:color w:val="auto"/>
              </w:rPr>
            </w:pPr>
            <w:r>
              <w:rPr>
                <w:rFonts w:ascii="Arial" w:cs="Arial" w:eastAsia="Arial" w:hAnsi="Arial"/>
                <w:sz w:val="13"/>
                <w:szCs w:val="13"/>
                <w:b w:val="1"/>
                <w:bCs w:val="1"/>
                <w:color w:val="auto"/>
              </w:rPr>
              <w:t>March 30, 2025</w:t>
            </w:r>
          </w:p>
        </w:tc>
        <w:tc>
          <w:tcPr>
            <w:tcW w:w="120" w:type="dxa"/>
            <w:vAlign w:val="bottom"/>
          </w:tcPr>
          <w:p>
            <w:pPr>
              <w:spacing w:after="0"/>
              <w:rPr>
                <w:sz w:val="11"/>
                <w:szCs w:val="11"/>
                <w:color w:val="auto"/>
              </w:rPr>
            </w:pPr>
          </w:p>
        </w:tc>
      </w:tr>
      <w:tr>
        <w:trPr>
          <w:trHeight w:val="134"/>
        </w:trPr>
        <w:tc>
          <w:tcPr>
            <w:tcW w:w="37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Americas</w:t>
            </w:r>
          </w:p>
        </w:tc>
        <w:tc>
          <w:tcPr>
            <w:tcW w:w="240" w:type="dxa"/>
            <w:vAlign w:val="bottom"/>
            <w:shd w:val="clear" w:color="auto" w:fill="CFF0FC"/>
          </w:tcPr>
          <w:p>
            <w:pPr>
              <w:jc w:val="right"/>
              <w:ind w:right="97"/>
              <w:spacing w:after="0" w:line="134" w:lineRule="exact"/>
              <w:rPr>
                <w:sz w:val="20"/>
                <w:szCs w:val="20"/>
                <w:color w:val="auto"/>
              </w:rPr>
            </w:pPr>
            <w:r>
              <w:rPr>
                <w:rFonts w:ascii="Arial" w:cs="Arial" w:eastAsia="Arial" w:hAnsi="Arial"/>
                <w:sz w:val="13"/>
                <w:szCs w:val="13"/>
                <w:color w:val="auto"/>
                <w:w w:val="82"/>
              </w:rPr>
              <w:t>$</w:t>
            </w:r>
          </w:p>
        </w:tc>
        <w:tc>
          <w:tcPr>
            <w:tcW w:w="14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78,343</w:t>
            </w:r>
          </w:p>
        </w:tc>
        <w:tc>
          <w:tcPr>
            <w:tcW w:w="520" w:type="dxa"/>
            <w:vAlign w:val="bottom"/>
            <w:gridSpan w:val="2"/>
            <w:shd w:val="clear" w:color="auto" w:fill="CFF0FC"/>
          </w:tcPr>
          <w:p>
            <w:pPr>
              <w:jc w:val="right"/>
              <w:ind w:right="133"/>
              <w:spacing w:after="0" w:line="134" w:lineRule="exact"/>
              <w:rPr>
                <w:sz w:val="20"/>
                <w:szCs w:val="20"/>
                <w:color w:val="auto"/>
              </w:rPr>
            </w:pPr>
            <w:r>
              <w:rPr>
                <w:rFonts w:ascii="Arial" w:cs="Arial" w:eastAsia="Arial" w:hAnsi="Arial"/>
                <w:sz w:val="13"/>
                <w:szCs w:val="13"/>
                <w:color w:val="auto"/>
              </w:rPr>
              <w:t>$</w:t>
            </w:r>
          </w:p>
        </w:tc>
        <w:tc>
          <w:tcPr>
            <w:tcW w:w="14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93,544</w:t>
            </w:r>
          </w:p>
        </w:tc>
        <w:tc>
          <w:tcPr>
            <w:tcW w:w="460" w:type="dxa"/>
            <w:vAlign w:val="bottom"/>
            <w:gridSpan w:val="2"/>
            <w:shd w:val="clear" w:color="auto" w:fill="CFF0FC"/>
          </w:tcPr>
          <w:p>
            <w:pPr>
              <w:jc w:val="right"/>
              <w:ind w:right="93"/>
              <w:spacing w:after="0" w:line="134" w:lineRule="exact"/>
              <w:rPr>
                <w:sz w:val="20"/>
                <w:szCs w:val="20"/>
                <w:color w:val="auto"/>
              </w:rPr>
            </w:pPr>
            <w:r>
              <w:rPr>
                <w:rFonts w:ascii="Arial" w:cs="Arial" w:eastAsia="Arial" w:hAnsi="Arial"/>
                <w:sz w:val="13"/>
                <w:szCs w:val="13"/>
                <w:color w:val="auto"/>
              </w:rPr>
              <w:t>$</w:t>
            </w:r>
          </w:p>
        </w:tc>
        <w:tc>
          <w:tcPr>
            <w:tcW w:w="14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240,772</w:t>
            </w:r>
          </w:p>
        </w:tc>
        <w:tc>
          <w:tcPr>
            <w:tcW w:w="460" w:type="dxa"/>
            <w:vAlign w:val="bottom"/>
            <w:gridSpan w:val="2"/>
            <w:shd w:val="clear" w:color="auto" w:fill="CFF0FC"/>
          </w:tcPr>
          <w:p>
            <w:pPr>
              <w:jc w:val="right"/>
              <w:ind w:right="93"/>
              <w:spacing w:after="0" w:line="134" w:lineRule="exact"/>
              <w:rPr>
                <w:sz w:val="20"/>
                <w:szCs w:val="20"/>
                <w:color w:val="auto"/>
              </w:rPr>
            </w:pPr>
            <w:r>
              <w:rPr>
                <w:rFonts w:ascii="Arial" w:cs="Arial" w:eastAsia="Arial" w:hAnsi="Arial"/>
                <w:sz w:val="13"/>
                <w:szCs w:val="13"/>
                <w:color w:val="auto"/>
              </w:rPr>
              <w:t>$</w:t>
            </w:r>
          </w:p>
        </w:tc>
        <w:tc>
          <w:tcPr>
            <w:tcW w:w="13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262,922</w:t>
            </w:r>
          </w:p>
        </w:tc>
        <w:tc>
          <w:tcPr>
            <w:tcW w:w="120" w:type="dxa"/>
            <w:vAlign w:val="bottom"/>
            <w:shd w:val="clear" w:color="auto" w:fill="CFF0FC"/>
          </w:tcPr>
          <w:p>
            <w:pPr>
              <w:spacing w:after="0"/>
              <w:rPr>
                <w:sz w:val="11"/>
                <w:szCs w:val="11"/>
                <w:color w:val="auto"/>
              </w:rPr>
            </w:pPr>
          </w:p>
        </w:tc>
      </w:tr>
      <w:tr>
        <w:trPr>
          <w:trHeight w:val="142"/>
        </w:trPr>
        <w:tc>
          <w:tcPr>
            <w:tcW w:w="3720" w:type="dxa"/>
            <w:vAlign w:val="bottom"/>
          </w:tcPr>
          <w:p>
            <w:pPr>
              <w:spacing w:after="0" w:line="142" w:lineRule="exact"/>
              <w:rPr>
                <w:sz w:val="20"/>
                <w:szCs w:val="20"/>
                <w:color w:val="auto"/>
              </w:rPr>
            </w:pPr>
            <w:r>
              <w:rPr>
                <w:rFonts w:ascii="Arial" w:cs="Arial" w:eastAsia="Arial" w:hAnsi="Arial"/>
                <w:sz w:val="13"/>
                <w:szCs w:val="13"/>
                <w:color w:val="auto"/>
              </w:rPr>
              <w:t>Brazil</w:t>
            </w:r>
          </w:p>
        </w:tc>
        <w:tc>
          <w:tcPr>
            <w:tcW w:w="240" w:type="dxa"/>
            <w:vAlign w:val="bottom"/>
          </w:tcPr>
          <w:p>
            <w:pPr>
              <w:spacing w:after="0"/>
              <w:rPr>
                <w:sz w:val="12"/>
                <w:szCs w:val="12"/>
                <w:color w:val="auto"/>
              </w:rPr>
            </w:pPr>
          </w:p>
        </w:tc>
        <w:tc>
          <w:tcPr>
            <w:tcW w:w="1480" w:type="dxa"/>
            <w:vAlign w:val="bottom"/>
          </w:tcPr>
          <w:p>
            <w:pPr>
              <w:jc w:val="right"/>
              <w:spacing w:after="0" w:line="142" w:lineRule="exact"/>
              <w:rPr>
                <w:sz w:val="20"/>
                <w:szCs w:val="20"/>
                <w:color w:val="auto"/>
              </w:rPr>
            </w:pPr>
            <w:r>
              <w:rPr>
                <w:rFonts w:ascii="Arial" w:cs="Arial" w:eastAsia="Arial" w:hAnsi="Arial"/>
                <w:sz w:val="13"/>
                <w:szCs w:val="13"/>
                <w:color w:val="auto"/>
              </w:rPr>
              <w:t>29,112</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tcPr>
          <w:p>
            <w:pPr>
              <w:jc w:val="right"/>
              <w:spacing w:after="0" w:line="142" w:lineRule="exact"/>
              <w:rPr>
                <w:sz w:val="20"/>
                <w:szCs w:val="20"/>
                <w:color w:val="auto"/>
              </w:rPr>
            </w:pPr>
            <w:r>
              <w:rPr>
                <w:rFonts w:ascii="Arial" w:cs="Arial" w:eastAsia="Arial" w:hAnsi="Arial"/>
                <w:sz w:val="13"/>
                <w:szCs w:val="13"/>
                <w:color w:val="auto"/>
              </w:rPr>
              <w:t>28,124</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tcPr>
          <w:p>
            <w:pPr>
              <w:jc w:val="right"/>
              <w:spacing w:after="0" w:line="142" w:lineRule="exact"/>
              <w:rPr>
                <w:sz w:val="20"/>
                <w:szCs w:val="20"/>
                <w:color w:val="auto"/>
              </w:rPr>
            </w:pPr>
            <w:r>
              <w:rPr>
                <w:rFonts w:ascii="Arial" w:cs="Arial" w:eastAsia="Arial" w:hAnsi="Arial"/>
                <w:sz w:val="13"/>
                <w:szCs w:val="13"/>
                <w:color w:val="auto"/>
              </w:rPr>
              <w:t>81,201</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jc w:val="right"/>
              <w:spacing w:after="0" w:line="142" w:lineRule="exact"/>
              <w:rPr>
                <w:sz w:val="20"/>
                <w:szCs w:val="20"/>
                <w:color w:val="auto"/>
              </w:rPr>
            </w:pPr>
            <w:r>
              <w:rPr>
                <w:rFonts w:ascii="Arial" w:cs="Arial" w:eastAsia="Arial" w:hAnsi="Arial"/>
                <w:sz w:val="13"/>
                <w:szCs w:val="13"/>
                <w:color w:val="auto"/>
              </w:rPr>
              <w:t>89,916</w:t>
            </w:r>
          </w:p>
        </w:tc>
        <w:tc>
          <w:tcPr>
            <w:tcW w:w="120" w:type="dxa"/>
            <w:vAlign w:val="bottom"/>
          </w:tcPr>
          <w:p>
            <w:pPr>
              <w:spacing w:after="0"/>
              <w:rPr>
                <w:sz w:val="12"/>
                <w:szCs w:val="12"/>
                <w:color w:val="auto"/>
              </w:rPr>
            </w:pPr>
          </w:p>
        </w:tc>
      </w:tr>
      <w:tr>
        <w:trPr>
          <w:trHeight w:val="142"/>
        </w:trPr>
        <w:tc>
          <w:tcPr>
            <w:tcW w:w="3720" w:type="dxa"/>
            <w:vAlign w:val="bottom"/>
            <w:tcBorders>
              <w:bottom w:val="single" w:sz="8" w:color="CFF0FC"/>
            </w:tcBorders>
            <w:shd w:val="clear" w:color="auto" w:fill="CFF0FC"/>
          </w:tcPr>
          <w:p>
            <w:pPr>
              <w:spacing w:after="0" w:line="142" w:lineRule="exact"/>
              <w:rPr>
                <w:sz w:val="20"/>
                <w:szCs w:val="20"/>
                <w:color w:val="auto"/>
              </w:rPr>
            </w:pPr>
            <w:r>
              <w:rPr>
                <w:rFonts w:ascii="Arial" w:cs="Arial" w:eastAsia="Arial" w:hAnsi="Arial"/>
                <w:sz w:val="13"/>
                <w:szCs w:val="13"/>
                <w:color w:val="auto"/>
              </w:rPr>
              <w:t>Asia</w:t>
            </w:r>
          </w:p>
        </w:tc>
        <w:tc>
          <w:tcPr>
            <w:tcW w:w="240" w:type="dxa"/>
            <w:vAlign w:val="bottom"/>
            <w:tcBorders>
              <w:bottom w:val="single" w:sz="8" w:color="auto"/>
            </w:tcBorders>
            <w:shd w:val="clear" w:color="auto" w:fill="CFF0FC"/>
          </w:tcPr>
          <w:p>
            <w:pPr>
              <w:spacing w:after="0"/>
              <w:rPr>
                <w:sz w:val="12"/>
                <w:szCs w:val="12"/>
                <w:color w:val="auto"/>
              </w:rPr>
            </w:pPr>
          </w:p>
        </w:tc>
        <w:tc>
          <w:tcPr>
            <w:tcW w:w="14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22,582</w:t>
            </w:r>
          </w:p>
        </w:tc>
        <w:tc>
          <w:tcPr>
            <w:tcW w:w="28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spacing w:after="0"/>
              <w:rPr>
                <w:sz w:val="12"/>
                <w:szCs w:val="12"/>
                <w:color w:val="auto"/>
              </w:rPr>
            </w:pPr>
          </w:p>
        </w:tc>
        <w:tc>
          <w:tcPr>
            <w:tcW w:w="14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24,889</w:t>
            </w:r>
          </w:p>
        </w:tc>
        <w:tc>
          <w:tcPr>
            <w:tcW w:w="26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14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65,106</w:t>
            </w:r>
          </w:p>
        </w:tc>
        <w:tc>
          <w:tcPr>
            <w:tcW w:w="26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13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79,971</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134"/>
        </w:trPr>
        <w:tc>
          <w:tcPr>
            <w:tcW w:w="3720" w:type="dxa"/>
            <w:vAlign w:val="bottom"/>
          </w:tcPr>
          <w:p>
            <w:pPr>
              <w:spacing w:after="0" w:line="134" w:lineRule="exact"/>
              <w:rPr>
                <w:sz w:val="20"/>
                <w:szCs w:val="20"/>
                <w:color w:val="auto"/>
              </w:rPr>
            </w:pPr>
            <w:r>
              <w:rPr>
                <w:rFonts w:ascii="Arial" w:cs="Arial" w:eastAsia="Arial" w:hAnsi="Arial"/>
                <w:sz w:val="13"/>
                <w:szCs w:val="13"/>
                <w:color w:val="auto"/>
              </w:rPr>
              <w:t>Consolidated net sales</w:t>
            </w:r>
          </w:p>
        </w:tc>
        <w:tc>
          <w:tcPr>
            <w:tcW w:w="240" w:type="dxa"/>
            <w:vAlign w:val="bottom"/>
            <w:tcBorders>
              <w:bottom w:val="single" w:sz="8" w:color="auto"/>
            </w:tcBorders>
          </w:tcPr>
          <w:p>
            <w:pPr>
              <w:jc w:val="right"/>
              <w:ind w:right="97"/>
              <w:spacing w:after="0" w:line="122" w:lineRule="exact"/>
              <w:rPr>
                <w:sz w:val="20"/>
                <w:szCs w:val="20"/>
                <w:color w:val="auto"/>
              </w:rPr>
            </w:pPr>
            <w:r>
              <w:rPr>
                <w:rFonts w:ascii="Arial" w:cs="Arial" w:eastAsia="Arial" w:hAnsi="Arial"/>
                <w:sz w:val="13"/>
                <w:szCs w:val="13"/>
                <w:color w:val="auto"/>
                <w:w w:val="82"/>
              </w:rPr>
              <w:t>$</w:t>
            </w:r>
          </w:p>
        </w:tc>
        <w:tc>
          <w:tcPr>
            <w:tcW w:w="148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130,037</w:t>
            </w:r>
          </w:p>
        </w:tc>
        <w:tc>
          <w:tcPr>
            <w:tcW w:w="280" w:type="dxa"/>
            <w:vAlign w:val="bottom"/>
          </w:tcPr>
          <w:p>
            <w:pPr>
              <w:spacing w:after="0"/>
              <w:rPr>
                <w:sz w:val="11"/>
                <w:szCs w:val="11"/>
                <w:color w:val="auto"/>
              </w:rPr>
            </w:pPr>
          </w:p>
        </w:tc>
        <w:tc>
          <w:tcPr>
            <w:tcW w:w="240" w:type="dxa"/>
            <w:vAlign w:val="bottom"/>
            <w:tcBorders>
              <w:bottom w:val="single" w:sz="8" w:color="auto"/>
            </w:tcBorders>
          </w:tcPr>
          <w:p>
            <w:pPr>
              <w:jc w:val="right"/>
              <w:ind w:right="133"/>
              <w:spacing w:after="0"/>
              <w:rPr>
                <w:sz w:val="20"/>
                <w:szCs w:val="20"/>
                <w:color w:val="auto"/>
              </w:rPr>
            </w:pPr>
            <w:r>
              <w:rPr>
                <w:rFonts w:ascii="Arial" w:cs="Arial" w:eastAsia="Arial" w:hAnsi="Arial"/>
                <w:sz w:val="9"/>
                <w:szCs w:val="9"/>
                <w:color w:val="auto"/>
                <w:w w:val="78"/>
              </w:rPr>
              <w:t>$</w:t>
            </w:r>
          </w:p>
        </w:tc>
        <w:tc>
          <w:tcPr>
            <w:tcW w:w="148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146,557</w:t>
            </w:r>
          </w:p>
        </w:tc>
        <w:tc>
          <w:tcPr>
            <w:tcW w:w="260" w:type="dxa"/>
            <w:vAlign w:val="bottom"/>
          </w:tcPr>
          <w:p>
            <w:pPr>
              <w:spacing w:after="0"/>
              <w:rPr>
                <w:sz w:val="11"/>
                <w:szCs w:val="11"/>
                <w:color w:val="auto"/>
              </w:rPr>
            </w:pPr>
          </w:p>
        </w:tc>
        <w:tc>
          <w:tcPr>
            <w:tcW w:w="200" w:type="dxa"/>
            <w:vAlign w:val="bottom"/>
            <w:tcBorders>
              <w:bottom w:val="single" w:sz="8" w:color="auto"/>
            </w:tcBorders>
          </w:tcPr>
          <w:p>
            <w:pPr>
              <w:jc w:val="right"/>
              <w:ind w:right="93"/>
              <w:spacing w:after="0"/>
              <w:rPr>
                <w:sz w:val="20"/>
                <w:szCs w:val="20"/>
                <w:color w:val="auto"/>
              </w:rPr>
            </w:pPr>
            <w:r>
              <w:rPr>
                <w:rFonts w:ascii="Arial" w:cs="Arial" w:eastAsia="Arial" w:hAnsi="Arial"/>
                <w:sz w:val="9"/>
                <w:szCs w:val="9"/>
                <w:color w:val="auto"/>
                <w:w w:val="78"/>
              </w:rPr>
              <w:t>$</w:t>
            </w:r>
          </w:p>
        </w:tc>
        <w:tc>
          <w:tcPr>
            <w:tcW w:w="14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387,079</w:t>
            </w:r>
          </w:p>
        </w:tc>
        <w:tc>
          <w:tcPr>
            <w:tcW w:w="260" w:type="dxa"/>
            <w:vAlign w:val="bottom"/>
          </w:tcPr>
          <w:p>
            <w:pPr>
              <w:spacing w:after="0"/>
              <w:rPr>
                <w:sz w:val="11"/>
                <w:szCs w:val="11"/>
                <w:color w:val="auto"/>
              </w:rPr>
            </w:pPr>
          </w:p>
        </w:tc>
        <w:tc>
          <w:tcPr>
            <w:tcW w:w="200" w:type="dxa"/>
            <w:vAlign w:val="bottom"/>
            <w:tcBorders>
              <w:bottom w:val="single" w:sz="8" w:color="auto"/>
            </w:tcBorders>
          </w:tcPr>
          <w:p>
            <w:pPr>
              <w:jc w:val="right"/>
              <w:ind w:right="93"/>
              <w:spacing w:after="0"/>
              <w:rPr>
                <w:sz w:val="20"/>
                <w:szCs w:val="20"/>
                <w:color w:val="auto"/>
              </w:rPr>
            </w:pPr>
            <w:r>
              <w:rPr>
                <w:rFonts w:ascii="Arial" w:cs="Arial" w:eastAsia="Arial" w:hAnsi="Arial"/>
                <w:sz w:val="9"/>
                <w:szCs w:val="9"/>
                <w:color w:val="auto"/>
                <w:w w:val="78"/>
              </w:rPr>
              <w:t>$</w:t>
            </w:r>
          </w:p>
        </w:tc>
        <w:tc>
          <w:tcPr>
            <w:tcW w:w="138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432,809</w:t>
            </w:r>
          </w:p>
        </w:tc>
        <w:tc>
          <w:tcPr>
            <w:tcW w:w="120" w:type="dxa"/>
            <w:vAlign w:val="bottom"/>
          </w:tcPr>
          <w:p>
            <w:pPr>
              <w:spacing w:after="0"/>
              <w:rPr>
                <w:sz w:val="11"/>
                <w:szCs w:val="11"/>
                <w:color w:val="auto"/>
              </w:rPr>
            </w:pPr>
          </w:p>
        </w:tc>
      </w:tr>
      <w:tr>
        <w:trPr>
          <w:trHeight w:val="20"/>
        </w:trPr>
        <w:tc>
          <w:tcPr>
            <w:tcW w:w="3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3454400</wp:posOffset>
            </wp:positionH>
            <wp:positionV relativeFrom="paragraph">
              <wp:posOffset>-119380</wp:posOffset>
            </wp:positionV>
            <wp:extent cx="74930"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4723765</wp:posOffset>
            </wp:positionH>
            <wp:positionV relativeFrom="paragraph">
              <wp:posOffset>-119380</wp:posOffset>
            </wp:positionV>
            <wp:extent cx="67310"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-119380</wp:posOffset>
            </wp:positionV>
            <wp:extent cx="67310"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7081520</wp:posOffset>
            </wp:positionH>
            <wp:positionV relativeFrom="paragraph">
              <wp:posOffset>-119380</wp:posOffset>
            </wp:positionV>
            <wp:extent cx="67310"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pacing w:after="0" w:line="114" w:lineRule="exact"/>
        <w:rPr>
          <w:sz w:val="20"/>
          <w:szCs w:val="20"/>
          <w:color w:val="auto"/>
        </w:rPr>
      </w:pPr>
    </w:p>
    <w:tbl>
      <w:tblPr>
        <w:tblLayout w:type="fixed"/>
        <w:tblInd w:w="5" w:type="dxa"/>
        <w:tblCellMar>
          <w:top w:w="0" w:type="dxa"/>
          <w:left w:w="0" w:type="dxa"/>
          <w:bottom w:w="0" w:type="dxa"/>
          <w:right w:w="0" w:type="dxa"/>
        </w:tblCellMar>
      </w:tblPr>
      <w:tr>
        <w:trPr>
          <w:trHeight w:val="150"/>
        </w:trPr>
        <w:tc>
          <w:tcPr>
            <w:tcW w:w="3720" w:type="dxa"/>
            <w:vAlign w:val="bottom"/>
          </w:tcPr>
          <w:p>
            <w:pPr>
              <w:spacing w:after="0"/>
              <w:rPr>
                <w:sz w:val="13"/>
                <w:szCs w:val="13"/>
                <w:color w:val="auto"/>
              </w:rPr>
            </w:pPr>
          </w:p>
        </w:tc>
        <w:tc>
          <w:tcPr>
            <w:tcW w:w="3320" w:type="dxa"/>
            <w:vAlign w:val="bottom"/>
            <w:gridSpan w:val="4"/>
          </w:tcPr>
          <w:p>
            <w:pPr>
              <w:jc w:val="right"/>
              <w:ind w:right="565"/>
              <w:spacing w:after="0"/>
              <w:rPr>
                <w:sz w:val="20"/>
                <w:szCs w:val="20"/>
                <w:color w:val="auto"/>
              </w:rPr>
            </w:pPr>
            <w:r>
              <w:rPr>
                <w:rFonts w:ascii="Arial" w:cs="Arial" w:eastAsia="Arial" w:hAnsi="Arial"/>
                <w:sz w:val="13"/>
                <w:szCs w:val="13"/>
                <w:b w:val="1"/>
                <w:bCs w:val="1"/>
                <w:color w:val="auto"/>
              </w:rPr>
              <w:t>For the Three Months Ended</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360" w:type="dxa"/>
            <w:vAlign w:val="bottom"/>
            <w:gridSpan w:val="5"/>
          </w:tcPr>
          <w:p>
            <w:pPr>
              <w:jc w:val="right"/>
              <w:ind w:right="1020"/>
              <w:spacing w:after="0"/>
              <w:rPr>
                <w:sz w:val="20"/>
                <w:szCs w:val="20"/>
                <w:color w:val="auto"/>
              </w:rPr>
            </w:pPr>
            <w:r>
              <w:rPr>
                <w:rFonts w:ascii="Arial" w:cs="Arial" w:eastAsia="Arial" w:hAnsi="Arial"/>
                <w:sz w:val="13"/>
                <w:szCs w:val="13"/>
                <w:b w:val="1"/>
                <w:bCs w:val="1"/>
                <w:color w:val="auto"/>
              </w:rPr>
              <w:t>For the Nine Months Ended</w:t>
            </w:r>
          </w:p>
        </w:tc>
      </w:tr>
      <w:tr>
        <w:trPr>
          <w:trHeight w:val="134"/>
        </w:trPr>
        <w:tc>
          <w:tcPr>
            <w:tcW w:w="3720" w:type="dxa"/>
            <w:vAlign w:val="bottom"/>
          </w:tcPr>
          <w:p>
            <w:pPr>
              <w:spacing w:after="0"/>
              <w:rPr>
                <w:sz w:val="11"/>
                <w:szCs w:val="11"/>
                <w:color w:val="auto"/>
              </w:rPr>
            </w:pPr>
          </w:p>
        </w:tc>
        <w:tc>
          <w:tcPr>
            <w:tcW w:w="134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b w:val="1"/>
                <w:bCs w:val="1"/>
                <w:color w:val="auto"/>
              </w:rPr>
              <w:t>March 29, 2026</w:t>
            </w:r>
          </w:p>
        </w:tc>
        <w:tc>
          <w:tcPr>
            <w:tcW w:w="380" w:type="dxa"/>
            <w:vAlign w:val="bottom"/>
            <w:tcBorders>
              <w:top w:val="single" w:sz="8" w:color="auto"/>
              <w:bottom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32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b w:val="1"/>
                <w:bCs w:val="1"/>
                <w:color w:val="auto"/>
              </w:rPr>
              <w:t>March 30, 2025</w:t>
            </w:r>
          </w:p>
        </w:tc>
        <w:tc>
          <w:tcPr>
            <w:tcW w:w="400" w:type="dxa"/>
            <w:vAlign w:val="bottom"/>
            <w:tcBorders>
              <w:top w:val="single" w:sz="8" w:color="auto"/>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1400" w:type="dxa"/>
            <w:vAlign w:val="bottom"/>
            <w:tcBorders>
              <w:top w:val="single" w:sz="8" w:color="auto"/>
              <w:bottom w:val="single" w:sz="8" w:color="auto"/>
            </w:tcBorders>
          </w:tcPr>
          <w:p>
            <w:pPr>
              <w:jc w:val="right"/>
              <w:ind w:right="297"/>
              <w:spacing w:after="0" w:line="134" w:lineRule="exact"/>
              <w:rPr>
                <w:sz w:val="20"/>
                <w:szCs w:val="20"/>
                <w:color w:val="auto"/>
              </w:rPr>
            </w:pPr>
            <w:r>
              <w:rPr>
                <w:rFonts w:ascii="Arial" w:cs="Arial" w:eastAsia="Arial" w:hAnsi="Arial"/>
                <w:sz w:val="13"/>
                <w:szCs w:val="13"/>
                <w:b w:val="1"/>
                <w:bCs w:val="1"/>
                <w:color w:val="auto"/>
              </w:rPr>
              <w:t>March 29, 2026</w:t>
            </w:r>
          </w:p>
        </w:tc>
        <w:tc>
          <w:tcPr>
            <w:tcW w:w="260" w:type="dxa"/>
            <w:vAlign w:val="bottom"/>
            <w:tcBorders>
              <w:top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1380" w:type="dxa"/>
            <w:vAlign w:val="bottom"/>
            <w:tcBorders>
              <w:top w:val="single" w:sz="8" w:color="auto"/>
              <w:bottom w:val="single" w:sz="8" w:color="auto"/>
            </w:tcBorders>
          </w:tcPr>
          <w:p>
            <w:pPr>
              <w:jc w:val="right"/>
              <w:ind w:right="277"/>
              <w:spacing w:after="0" w:line="134" w:lineRule="exact"/>
              <w:rPr>
                <w:sz w:val="20"/>
                <w:szCs w:val="20"/>
                <w:color w:val="auto"/>
              </w:rPr>
            </w:pPr>
            <w:r>
              <w:rPr>
                <w:rFonts w:ascii="Arial" w:cs="Arial" w:eastAsia="Arial" w:hAnsi="Arial"/>
                <w:sz w:val="13"/>
                <w:szCs w:val="13"/>
                <w:b w:val="1"/>
                <w:bCs w:val="1"/>
                <w:color w:val="auto"/>
              </w:rPr>
              <w:t>March 30, 2025</w:t>
            </w:r>
          </w:p>
        </w:tc>
        <w:tc>
          <w:tcPr>
            <w:tcW w:w="120" w:type="dxa"/>
            <w:vAlign w:val="bottom"/>
          </w:tcPr>
          <w:p>
            <w:pPr>
              <w:spacing w:after="0"/>
              <w:rPr>
                <w:sz w:val="11"/>
                <w:szCs w:val="11"/>
                <w:color w:val="auto"/>
              </w:rPr>
            </w:pPr>
          </w:p>
        </w:tc>
      </w:tr>
      <w:tr>
        <w:trPr>
          <w:trHeight w:val="134"/>
        </w:trPr>
        <w:tc>
          <w:tcPr>
            <w:tcW w:w="37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Americas</w:t>
            </w:r>
          </w:p>
        </w:tc>
        <w:tc>
          <w:tcPr>
            <w:tcW w:w="1340" w:type="dxa"/>
            <w:vAlign w:val="bottom"/>
            <w:shd w:val="clear" w:color="auto" w:fill="CFF0FC"/>
          </w:tcPr>
          <w:p>
            <w:pPr>
              <w:jc w:val="right"/>
              <w:ind w:right="1197"/>
              <w:spacing w:after="0" w:line="134" w:lineRule="exact"/>
              <w:rPr>
                <w:sz w:val="20"/>
                <w:szCs w:val="20"/>
                <w:color w:val="auto"/>
              </w:rPr>
            </w:pPr>
            <w:r>
              <w:rPr>
                <w:rFonts w:ascii="Arial" w:cs="Arial" w:eastAsia="Arial" w:hAnsi="Arial"/>
                <w:sz w:val="13"/>
                <w:szCs w:val="13"/>
                <w:color w:val="auto"/>
                <w:w w:val="82"/>
              </w:rPr>
              <w:t>$</w:t>
            </w:r>
          </w:p>
        </w:tc>
        <w:tc>
          <w:tcPr>
            <w:tcW w:w="3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3,623</w:t>
            </w:r>
          </w:p>
        </w:tc>
        <w:tc>
          <w:tcPr>
            <w:tcW w:w="1600" w:type="dxa"/>
            <w:vAlign w:val="bottom"/>
            <w:gridSpan w:val="2"/>
            <w:shd w:val="clear" w:color="auto" w:fill="CFF0FC"/>
          </w:tcPr>
          <w:p>
            <w:pPr>
              <w:jc w:val="right"/>
              <w:ind w:right="1205"/>
              <w:spacing w:after="0" w:line="134" w:lineRule="exact"/>
              <w:rPr>
                <w:sz w:val="20"/>
                <w:szCs w:val="20"/>
                <w:color w:val="auto"/>
              </w:rPr>
            </w:pPr>
            <w:r>
              <w:rPr>
                <w:rFonts w:ascii="Arial" w:cs="Arial" w:eastAsia="Arial" w:hAnsi="Arial"/>
                <w:sz w:val="13"/>
                <w:szCs w:val="13"/>
                <w:color w:val="auto"/>
              </w:rPr>
              <w:t>$</w:t>
            </w:r>
          </w:p>
        </w:tc>
        <w:tc>
          <w:tcPr>
            <w:tcW w:w="540" w:type="dxa"/>
            <w:vAlign w:val="bottom"/>
            <w:gridSpan w:val="2"/>
            <w:shd w:val="clear" w:color="auto" w:fill="CFF0FC"/>
          </w:tcPr>
          <w:p>
            <w:pPr>
              <w:jc w:val="right"/>
              <w:ind w:right="100"/>
              <w:spacing w:after="0" w:line="134" w:lineRule="exact"/>
              <w:rPr>
                <w:sz w:val="20"/>
                <w:szCs w:val="20"/>
                <w:color w:val="auto"/>
              </w:rPr>
            </w:pPr>
            <w:r>
              <w:rPr>
                <w:rFonts w:ascii="Arial" w:cs="Arial" w:eastAsia="Arial" w:hAnsi="Arial"/>
                <w:sz w:val="13"/>
                <w:szCs w:val="13"/>
                <w:color w:val="auto"/>
              </w:rPr>
              <w:t>(6,957)</w:t>
            </w:r>
          </w:p>
        </w:tc>
        <w:tc>
          <w:tcPr>
            <w:tcW w:w="320" w:type="dxa"/>
            <w:vAlign w:val="bottom"/>
            <w:gridSpan w:val="2"/>
            <w:shd w:val="clear" w:color="auto" w:fill="CFF0FC"/>
          </w:tcPr>
          <w:p>
            <w:pPr>
              <w:jc w:val="right"/>
              <w:ind w:right="93"/>
              <w:spacing w:after="0" w:line="134" w:lineRule="exact"/>
              <w:rPr>
                <w:sz w:val="20"/>
                <w:szCs w:val="20"/>
                <w:color w:val="auto"/>
              </w:rPr>
            </w:pPr>
            <w:r>
              <w:rPr>
                <w:rFonts w:ascii="Arial" w:cs="Arial" w:eastAsia="Arial" w:hAnsi="Arial"/>
                <w:sz w:val="13"/>
                <w:szCs w:val="13"/>
                <w:color w:val="auto"/>
              </w:rPr>
              <w:t>$</w:t>
            </w:r>
          </w:p>
        </w:tc>
        <w:tc>
          <w:tcPr>
            <w:tcW w:w="14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1,512</w:t>
            </w:r>
          </w:p>
        </w:tc>
        <w:tc>
          <w:tcPr>
            <w:tcW w:w="460" w:type="dxa"/>
            <w:vAlign w:val="bottom"/>
            <w:gridSpan w:val="2"/>
            <w:shd w:val="clear" w:color="auto" w:fill="CFF0FC"/>
          </w:tcPr>
          <w:p>
            <w:pPr>
              <w:jc w:val="right"/>
              <w:ind w:right="93"/>
              <w:spacing w:after="0" w:line="134" w:lineRule="exact"/>
              <w:rPr>
                <w:sz w:val="20"/>
                <w:szCs w:val="20"/>
                <w:color w:val="auto"/>
              </w:rPr>
            </w:pPr>
            <w:r>
              <w:rPr>
                <w:rFonts w:ascii="Arial" w:cs="Arial" w:eastAsia="Arial" w:hAnsi="Arial"/>
                <w:sz w:val="13"/>
                <w:szCs w:val="13"/>
                <w:color w:val="auto"/>
              </w:rPr>
              <w:t>$</w:t>
            </w:r>
          </w:p>
        </w:tc>
        <w:tc>
          <w:tcPr>
            <w:tcW w:w="1500" w:type="dxa"/>
            <w:vAlign w:val="bottom"/>
            <w:gridSpan w:val="2"/>
            <w:shd w:val="clear" w:color="auto" w:fill="CFF0FC"/>
          </w:tcPr>
          <w:p>
            <w:pPr>
              <w:jc w:val="right"/>
              <w:ind w:right="80"/>
              <w:spacing w:after="0" w:line="134" w:lineRule="exact"/>
              <w:rPr>
                <w:sz w:val="20"/>
                <w:szCs w:val="20"/>
                <w:color w:val="auto"/>
              </w:rPr>
            </w:pPr>
            <w:r>
              <w:rPr>
                <w:rFonts w:ascii="Arial" w:cs="Arial" w:eastAsia="Arial" w:hAnsi="Arial"/>
                <w:sz w:val="13"/>
                <w:szCs w:val="13"/>
                <w:color w:val="auto"/>
              </w:rPr>
              <w:t>(14,875)</w:t>
            </w:r>
          </w:p>
        </w:tc>
      </w:tr>
      <w:tr>
        <w:trPr>
          <w:trHeight w:val="142"/>
        </w:trPr>
        <w:tc>
          <w:tcPr>
            <w:tcW w:w="3720" w:type="dxa"/>
            <w:vAlign w:val="bottom"/>
          </w:tcPr>
          <w:p>
            <w:pPr>
              <w:spacing w:after="0" w:line="142" w:lineRule="exact"/>
              <w:rPr>
                <w:sz w:val="20"/>
                <w:szCs w:val="20"/>
                <w:color w:val="auto"/>
              </w:rPr>
            </w:pPr>
            <w:r>
              <w:rPr>
                <w:rFonts w:ascii="Arial" w:cs="Arial" w:eastAsia="Arial" w:hAnsi="Arial"/>
                <w:sz w:val="13"/>
                <w:szCs w:val="13"/>
                <w:color w:val="auto"/>
              </w:rPr>
              <w:t>Brazil</w:t>
            </w:r>
          </w:p>
        </w:tc>
        <w:tc>
          <w:tcPr>
            <w:tcW w:w="1340" w:type="dxa"/>
            <w:vAlign w:val="bottom"/>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Arial" w:cs="Arial" w:eastAsia="Arial" w:hAnsi="Arial"/>
                <w:sz w:val="13"/>
                <w:szCs w:val="13"/>
                <w:color w:val="auto"/>
              </w:rPr>
              <w:t>2,751</w:t>
            </w:r>
          </w:p>
        </w:tc>
        <w:tc>
          <w:tcPr>
            <w:tcW w:w="2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3"/>
                <w:szCs w:val="13"/>
                <w:color w:val="auto"/>
              </w:rPr>
              <w:t>2,988</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tcPr>
          <w:p>
            <w:pPr>
              <w:jc w:val="right"/>
              <w:spacing w:after="0" w:line="142" w:lineRule="exact"/>
              <w:rPr>
                <w:sz w:val="20"/>
                <w:szCs w:val="20"/>
                <w:color w:val="auto"/>
              </w:rPr>
            </w:pPr>
            <w:r>
              <w:rPr>
                <w:rFonts w:ascii="Arial" w:cs="Arial" w:eastAsia="Arial" w:hAnsi="Arial"/>
                <w:sz w:val="13"/>
                <w:szCs w:val="13"/>
                <w:color w:val="auto"/>
              </w:rPr>
              <w:t>6,468</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jc w:val="right"/>
              <w:spacing w:after="0" w:line="142" w:lineRule="exact"/>
              <w:rPr>
                <w:sz w:val="20"/>
                <w:szCs w:val="20"/>
                <w:color w:val="auto"/>
              </w:rPr>
            </w:pPr>
            <w:r>
              <w:rPr>
                <w:rFonts w:ascii="Arial" w:cs="Arial" w:eastAsia="Arial" w:hAnsi="Arial"/>
                <w:sz w:val="13"/>
                <w:szCs w:val="13"/>
                <w:color w:val="auto"/>
              </w:rPr>
              <w:t>14,711</w:t>
            </w:r>
          </w:p>
        </w:tc>
        <w:tc>
          <w:tcPr>
            <w:tcW w:w="120" w:type="dxa"/>
            <w:vAlign w:val="bottom"/>
          </w:tcPr>
          <w:p>
            <w:pPr>
              <w:spacing w:after="0"/>
              <w:rPr>
                <w:sz w:val="12"/>
                <w:szCs w:val="12"/>
                <w:color w:val="auto"/>
              </w:rPr>
            </w:pPr>
          </w:p>
        </w:tc>
      </w:tr>
      <w:tr>
        <w:trPr>
          <w:trHeight w:val="142"/>
        </w:trPr>
        <w:tc>
          <w:tcPr>
            <w:tcW w:w="3720" w:type="dxa"/>
            <w:vAlign w:val="bottom"/>
            <w:tcBorders>
              <w:bottom w:val="single" w:sz="8" w:color="CFF0FC"/>
            </w:tcBorders>
            <w:shd w:val="clear" w:color="auto" w:fill="CFF0FC"/>
          </w:tcPr>
          <w:p>
            <w:pPr>
              <w:spacing w:after="0" w:line="142" w:lineRule="exact"/>
              <w:rPr>
                <w:sz w:val="20"/>
                <w:szCs w:val="20"/>
                <w:color w:val="auto"/>
              </w:rPr>
            </w:pPr>
            <w:r>
              <w:rPr>
                <w:rFonts w:ascii="Arial" w:cs="Arial" w:eastAsia="Arial" w:hAnsi="Arial"/>
                <w:sz w:val="13"/>
                <w:szCs w:val="13"/>
                <w:color w:val="auto"/>
              </w:rPr>
              <w:t>Asia</w:t>
            </w:r>
          </w:p>
        </w:tc>
        <w:tc>
          <w:tcPr>
            <w:tcW w:w="1340" w:type="dxa"/>
            <w:vAlign w:val="bottom"/>
            <w:tcBorders>
              <w:bottom w:val="single" w:sz="8" w:color="auto"/>
            </w:tcBorders>
            <w:shd w:val="clear" w:color="auto" w:fill="CFF0FC"/>
          </w:tcPr>
          <w:p>
            <w:pPr>
              <w:spacing w:after="0"/>
              <w:rPr>
                <w:sz w:val="12"/>
                <w:szCs w:val="12"/>
                <w:color w:val="auto"/>
              </w:rPr>
            </w:pPr>
          </w:p>
        </w:tc>
        <w:tc>
          <w:tcPr>
            <w:tcW w:w="3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2,743</w:t>
            </w:r>
          </w:p>
        </w:tc>
        <w:tc>
          <w:tcPr>
            <w:tcW w:w="280" w:type="dxa"/>
            <w:vAlign w:val="bottom"/>
            <w:tcBorders>
              <w:bottom w:val="single" w:sz="8" w:color="CFF0FC"/>
            </w:tcBorders>
            <w:shd w:val="clear" w:color="auto" w:fill="CFF0FC"/>
          </w:tcPr>
          <w:p>
            <w:pPr>
              <w:spacing w:after="0"/>
              <w:rPr>
                <w:sz w:val="12"/>
                <w:szCs w:val="12"/>
                <w:color w:val="auto"/>
              </w:rPr>
            </w:pPr>
          </w:p>
        </w:tc>
        <w:tc>
          <w:tcPr>
            <w:tcW w:w="1320" w:type="dxa"/>
            <w:vAlign w:val="bottom"/>
            <w:tcBorders>
              <w:bottom w:val="single" w:sz="8" w:color="auto"/>
            </w:tcBorders>
            <w:shd w:val="clear" w:color="auto" w:fill="CFF0FC"/>
          </w:tcPr>
          <w:p>
            <w:pPr>
              <w:spacing w:after="0"/>
              <w:rPr>
                <w:sz w:val="12"/>
                <w:szCs w:val="12"/>
                <w:color w:val="auto"/>
              </w:rPr>
            </w:pPr>
          </w:p>
        </w:tc>
        <w:tc>
          <w:tcPr>
            <w:tcW w:w="4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3,524</w:t>
            </w:r>
          </w:p>
        </w:tc>
        <w:tc>
          <w:tcPr>
            <w:tcW w:w="14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14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8,135</w:t>
            </w:r>
          </w:p>
        </w:tc>
        <w:tc>
          <w:tcPr>
            <w:tcW w:w="26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13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9,711</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134"/>
        </w:trPr>
        <w:tc>
          <w:tcPr>
            <w:tcW w:w="3720" w:type="dxa"/>
            <w:vAlign w:val="bottom"/>
          </w:tcPr>
          <w:p>
            <w:pPr>
              <w:spacing w:after="0" w:line="134" w:lineRule="exact"/>
              <w:rPr>
                <w:sz w:val="20"/>
                <w:szCs w:val="20"/>
                <w:color w:val="auto"/>
              </w:rPr>
            </w:pPr>
            <w:r>
              <w:rPr>
                <w:rFonts w:ascii="Arial" w:cs="Arial" w:eastAsia="Arial" w:hAnsi="Arial"/>
                <w:sz w:val="13"/>
                <w:szCs w:val="13"/>
                <w:color w:val="auto"/>
              </w:rPr>
              <w:t>Consolidated gross profit (loss)</w:t>
            </w:r>
          </w:p>
        </w:tc>
        <w:tc>
          <w:tcPr>
            <w:tcW w:w="1340" w:type="dxa"/>
            <w:vAlign w:val="bottom"/>
            <w:tcBorders>
              <w:bottom w:val="single" w:sz="8" w:color="auto"/>
            </w:tcBorders>
          </w:tcPr>
          <w:p>
            <w:pPr>
              <w:jc w:val="right"/>
              <w:ind w:right="1197"/>
              <w:spacing w:after="0" w:line="122" w:lineRule="exact"/>
              <w:rPr>
                <w:sz w:val="20"/>
                <w:szCs w:val="20"/>
                <w:color w:val="auto"/>
              </w:rPr>
            </w:pPr>
            <w:r>
              <w:rPr>
                <w:rFonts w:ascii="Arial" w:cs="Arial" w:eastAsia="Arial" w:hAnsi="Arial"/>
                <w:sz w:val="13"/>
                <w:szCs w:val="13"/>
                <w:color w:val="auto"/>
                <w:w w:val="82"/>
              </w:rPr>
              <w:t>$</w:t>
            </w:r>
          </w:p>
        </w:tc>
        <w:tc>
          <w:tcPr>
            <w:tcW w:w="38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9,117</w:t>
            </w:r>
          </w:p>
        </w:tc>
        <w:tc>
          <w:tcPr>
            <w:tcW w:w="280" w:type="dxa"/>
            <w:vAlign w:val="bottom"/>
          </w:tcPr>
          <w:p>
            <w:pPr>
              <w:spacing w:after="0"/>
              <w:rPr>
                <w:sz w:val="11"/>
                <w:szCs w:val="11"/>
                <w:color w:val="auto"/>
              </w:rPr>
            </w:pPr>
          </w:p>
        </w:tc>
        <w:tc>
          <w:tcPr>
            <w:tcW w:w="1320" w:type="dxa"/>
            <w:vAlign w:val="bottom"/>
            <w:tcBorders>
              <w:bottom w:val="single" w:sz="8" w:color="auto"/>
            </w:tcBorders>
          </w:tcPr>
          <w:p>
            <w:pPr>
              <w:jc w:val="right"/>
              <w:ind w:right="1205"/>
              <w:spacing w:after="0"/>
              <w:rPr>
                <w:sz w:val="20"/>
                <w:szCs w:val="20"/>
                <w:color w:val="auto"/>
              </w:rPr>
            </w:pPr>
            <w:r>
              <w:rPr>
                <w:rFonts w:ascii="Arial" w:cs="Arial" w:eastAsia="Arial" w:hAnsi="Arial"/>
                <w:sz w:val="9"/>
                <w:szCs w:val="9"/>
                <w:color w:val="auto"/>
                <w:w w:val="78"/>
              </w:rPr>
              <w:t>$</w:t>
            </w:r>
          </w:p>
        </w:tc>
        <w:tc>
          <w:tcPr>
            <w:tcW w:w="4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(445)</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Borders>
              <w:bottom w:val="single" w:sz="8" w:color="auto"/>
            </w:tcBorders>
          </w:tcPr>
          <w:p>
            <w:pPr>
              <w:jc w:val="right"/>
              <w:ind w:right="93"/>
              <w:spacing w:after="0"/>
              <w:rPr>
                <w:sz w:val="20"/>
                <w:szCs w:val="20"/>
                <w:color w:val="auto"/>
              </w:rPr>
            </w:pPr>
            <w:r>
              <w:rPr>
                <w:rFonts w:ascii="Arial" w:cs="Arial" w:eastAsia="Arial" w:hAnsi="Arial"/>
                <w:sz w:val="9"/>
                <w:szCs w:val="9"/>
                <w:color w:val="auto"/>
                <w:w w:val="78"/>
              </w:rPr>
              <w:t>$</w:t>
            </w:r>
          </w:p>
        </w:tc>
        <w:tc>
          <w:tcPr>
            <w:tcW w:w="14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16,115</w:t>
            </w:r>
          </w:p>
        </w:tc>
        <w:tc>
          <w:tcPr>
            <w:tcW w:w="260" w:type="dxa"/>
            <w:vAlign w:val="bottom"/>
          </w:tcPr>
          <w:p>
            <w:pPr>
              <w:spacing w:after="0"/>
              <w:rPr>
                <w:sz w:val="11"/>
                <w:szCs w:val="11"/>
                <w:color w:val="auto"/>
              </w:rPr>
            </w:pPr>
          </w:p>
        </w:tc>
        <w:tc>
          <w:tcPr>
            <w:tcW w:w="200" w:type="dxa"/>
            <w:vAlign w:val="bottom"/>
            <w:tcBorders>
              <w:bottom w:val="single" w:sz="8" w:color="auto"/>
            </w:tcBorders>
          </w:tcPr>
          <w:p>
            <w:pPr>
              <w:jc w:val="right"/>
              <w:ind w:right="93"/>
              <w:spacing w:after="0"/>
              <w:rPr>
                <w:sz w:val="20"/>
                <w:szCs w:val="20"/>
                <w:color w:val="auto"/>
              </w:rPr>
            </w:pPr>
            <w:r>
              <w:rPr>
                <w:rFonts w:ascii="Arial" w:cs="Arial" w:eastAsia="Arial" w:hAnsi="Arial"/>
                <w:sz w:val="9"/>
                <w:szCs w:val="9"/>
                <w:color w:val="auto"/>
                <w:w w:val="78"/>
              </w:rPr>
              <w:t>$</w:t>
            </w:r>
          </w:p>
        </w:tc>
        <w:tc>
          <w:tcPr>
            <w:tcW w:w="138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9,547</w:t>
            </w:r>
          </w:p>
        </w:tc>
        <w:tc>
          <w:tcPr>
            <w:tcW w:w="120" w:type="dxa"/>
            <w:vAlign w:val="bottom"/>
          </w:tcPr>
          <w:p>
            <w:pPr>
              <w:spacing w:after="0"/>
              <w:rPr>
                <w:sz w:val="11"/>
                <w:szCs w:val="11"/>
                <w:color w:val="auto"/>
              </w:rPr>
            </w:pPr>
          </w:p>
        </w:tc>
      </w:tr>
      <w:tr>
        <w:trPr>
          <w:trHeight w:val="20"/>
        </w:trPr>
        <w:tc>
          <w:tcPr>
            <w:tcW w:w="37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3454400</wp:posOffset>
            </wp:positionH>
            <wp:positionV relativeFrom="paragraph">
              <wp:posOffset>-119380</wp:posOffset>
            </wp:positionV>
            <wp:extent cx="74930"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4723765</wp:posOffset>
            </wp:positionH>
            <wp:positionV relativeFrom="paragraph">
              <wp:posOffset>-119380</wp:posOffset>
            </wp:positionV>
            <wp:extent cx="67310"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-119380</wp:posOffset>
            </wp:positionV>
            <wp:extent cx="67310"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7081520</wp:posOffset>
            </wp:positionH>
            <wp:positionV relativeFrom="paragraph">
              <wp:posOffset>-119380</wp:posOffset>
            </wp:positionV>
            <wp:extent cx="67310"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pacing w:after="0" w:line="232" w:lineRule="exact"/>
        <w:rPr>
          <w:sz w:val="20"/>
          <w:szCs w:val="20"/>
          <w:color w:val="auto"/>
        </w:rPr>
      </w:pPr>
    </w:p>
    <w:p>
      <w:pPr>
        <w:jc w:val="center"/>
        <w:ind w:right="-4"/>
        <w:spacing w:after="0"/>
        <w:rPr>
          <w:sz w:val="20"/>
          <w:szCs w:val="20"/>
          <w:color w:val="auto"/>
        </w:rPr>
      </w:pPr>
      <w:r>
        <w:rPr>
          <w:rFonts w:ascii="Arial" w:cs="Arial" w:eastAsia="Arial" w:hAnsi="Arial"/>
          <w:sz w:val="13"/>
          <w:szCs w:val="13"/>
          <w:b w:val="1"/>
          <w:bCs w:val="1"/>
          <w:color w:val="auto"/>
        </w:rPr>
        <w:t>RECONCILIATIONS OF REPORTED RESULTS TO ADJUSTED RESULTS</w:t>
      </w:r>
    </w:p>
    <w:p>
      <w:pPr>
        <w:jc w:val="center"/>
        <w:ind w:right="-4"/>
        <w:spacing w:after="0" w:line="234" w:lineRule="auto"/>
        <w:rPr>
          <w:sz w:val="20"/>
          <w:szCs w:val="20"/>
          <w:color w:val="auto"/>
        </w:rPr>
      </w:pPr>
      <w:r>
        <w:rPr>
          <w:rFonts w:ascii="Arial" w:cs="Arial" w:eastAsia="Arial" w:hAnsi="Arial"/>
          <w:sz w:val="13"/>
          <w:szCs w:val="13"/>
          <w:b w:val="1"/>
          <w:bCs w:val="1"/>
          <w:color w:val="auto"/>
        </w:rPr>
        <w:t>(Unaudited)</w:t>
      </w:r>
    </w:p>
    <w:p>
      <w:pPr>
        <w:spacing w:after="0" w:line="1" w:lineRule="exact"/>
        <w:rPr>
          <w:sz w:val="20"/>
          <w:szCs w:val="20"/>
          <w:color w:val="auto"/>
        </w:rPr>
      </w:pPr>
    </w:p>
    <w:p>
      <w:pPr>
        <w:jc w:val="center"/>
        <w:ind w:right="-4"/>
        <w:spacing w:after="0"/>
        <w:rPr>
          <w:sz w:val="20"/>
          <w:szCs w:val="20"/>
          <w:color w:val="auto"/>
        </w:rPr>
      </w:pPr>
      <w:r>
        <w:rPr>
          <w:rFonts w:ascii="Arial" w:cs="Arial" w:eastAsia="Arial" w:hAnsi="Arial"/>
          <w:sz w:val="13"/>
          <w:szCs w:val="13"/>
          <w:b w:val="1"/>
          <w:bCs w:val="1"/>
          <w:color w:val="auto"/>
        </w:rPr>
        <w:t>(In thousands)</w:t>
      </w:r>
    </w:p>
    <w:p>
      <w:pPr>
        <w:spacing w:after="0" w:line="124" w:lineRule="exact"/>
        <w:rPr>
          <w:sz w:val="20"/>
          <w:szCs w:val="20"/>
          <w:color w:val="auto"/>
        </w:rPr>
      </w:pPr>
    </w:p>
    <w:p>
      <w:pPr>
        <w:ind w:left="5"/>
        <w:spacing w:after="0"/>
        <w:rPr>
          <w:sz w:val="20"/>
          <w:szCs w:val="20"/>
          <w:color w:val="auto"/>
        </w:rPr>
      </w:pPr>
      <w:r>
        <w:rPr>
          <w:rFonts w:ascii="Arial" w:cs="Arial" w:eastAsia="Arial" w:hAnsi="Arial"/>
          <w:sz w:val="13"/>
          <w:szCs w:val="13"/>
          <w:i w:val="1"/>
          <w:iCs w:val="1"/>
          <w:u w:val="single" w:color="auto"/>
          <w:color w:val="auto"/>
        </w:rPr>
        <w:t>EBITDA and Adjusted EBITDA (Non-GAAP Financial Measures)</w:t>
      </w:r>
    </w:p>
    <w:p>
      <w:pPr>
        <w:spacing w:after="0" w:line="85" w:lineRule="exact"/>
        <w:rPr>
          <w:sz w:val="20"/>
          <w:szCs w:val="20"/>
          <w:color w:val="auto"/>
        </w:rPr>
      </w:pPr>
    </w:p>
    <w:p>
      <w:pPr>
        <w:ind w:left="5"/>
        <w:spacing w:after="0"/>
        <w:rPr>
          <w:sz w:val="20"/>
          <w:szCs w:val="20"/>
          <w:color w:val="auto"/>
        </w:rPr>
      </w:pPr>
      <w:r>
        <w:rPr>
          <w:rFonts w:ascii="Arial" w:cs="Arial" w:eastAsia="Arial" w:hAnsi="Arial"/>
          <w:sz w:val="13"/>
          <w:szCs w:val="13"/>
          <w:color w:val="auto"/>
        </w:rPr>
        <w:t>The reconciliations of the amounts reported under U.S. generally accepted accounting principles (“GAAP”) for Net loss to EBITDA and Adjusted EBITDA are set forth below.</w:t>
      </w:r>
    </w:p>
    <w:p>
      <w:pPr>
        <w:spacing w:after="0" w:line="134" w:lineRule="exact"/>
        <w:rPr>
          <w:sz w:val="20"/>
          <w:szCs w:val="20"/>
          <w:color w:val="auto"/>
        </w:rPr>
      </w:pPr>
    </w:p>
    <w:tbl>
      <w:tblPr>
        <w:tblLayout w:type="fixed"/>
        <w:tblInd w:w="5"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3680" w:type="dxa"/>
            <w:vAlign w:val="bottom"/>
            <w:gridSpan w:val="6"/>
          </w:tcPr>
          <w:p>
            <w:pPr>
              <w:jc w:val="right"/>
              <w:ind w:right="1060"/>
              <w:spacing w:after="0"/>
              <w:rPr>
                <w:sz w:val="20"/>
                <w:szCs w:val="20"/>
                <w:color w:val="auto"/>
              </w:rPr>
            </w:pPr>
            <w:r>
              <w:rPr>
                <w:rFonts w:ascii="Arial" w:cs="Arial" w:eastAsia="Arial" w:hAnsi="Arial"/>
                <w:sz w:val="13"/>
                <w:szCs w:val="13"/>
                <w:b w:val="1"/>
                <w:bCs w:val="1"/>
                <w:color w:val="auto"/>
              </w:rPr>
              <w:t>For the Three Months Ended</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40" w:type="dxa"/>
            <w:vAlign w:val="bottom"/>
            <w:gridSpan w:val="6"/>
          </w:tcPr>
          <w:p>
            <w:pPr>
              <w:jc w:val="right"/>
              <w:ind w:right="1080"/>
              <w:spacing w:after="0"/>
              <w:rPr>
                <w:sz w:val="20"/>
                <w:szCs w:val="20"/>
                <w:color w:val="auto"/>
              </w:rPr>
            </w:pPr>
            <w:r>
              <w:rPr>
                <w:rFonts w:ascii="Arial" w:cs="Arial" w:eastAsia="Arial" w:hAnsi="Arial"/>
                <w:sz w:val="13"/>
                <w:szCs w:val="13"/>
                <w:b w:val="1"/>
                <w:bCs w:val="1"/>
                <w:color w:val="auto"/>
              </w:rPr>
              <w:t>For the Nine Months Ended</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126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b w:val="1"/>
                <w:bCs w:val="1"/>
                <w:color w:val="auto"/>
              </w:rPr>
              <w:t>March 29, 2026</w:t>
            </w:r>
          </w:p>
        </w:tc>
        <w:tc>
          <w:tcPr>
            <w:tcW w:w="380" w:type="dxa"/>
            <w:vAlign w:val="bottom"/>
            <w:tcBorders>
              <w:top w:val="single" w:sz="8" w:color="auto"/>
              <w:bottom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1420" w:type="dxa"/>
            <w:vAlign w:val="bottom"/>
            <w:tcBorders>
              <w:top w:val="single" w:sz="8" w:color="auto"/>
              <w:bottom w:val="single" w:sz="8" w:color="auto"/>
            </w:tcBorders>
          </w:tcPr>
          <w:p>
            <w:pPr>
              <w:jc w:val="right"/>
              <w:ind w:right="317"/>
              <w:spacing w:after="0" w:line="134" w:lineRule="exact"/>
              <w:rPr>
                <w:sz w:val="20"/>
                <w:szCs w:val="20"/>
                <w:color w:val="auto"/>
              </w:rPr>
            </w:pPr>
            <w:r>
              <w:rPr>
                <w:rFonts w:ascii="Arial" w:cs="Arial" w:eastAsia="Arial" w:hAnsi="Arial"/>
                <w:sz w:val="13"/>
                <w:szCs w:val="13"/>
                <w:b w:val="1"/>
                <w:bCs w:val="1"/>
                <w:color w:val="auto"/>
              </w:rPr>
              <w:t>March 30, 2025</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1420" w:type="dxa"/>
            <w:vAlign w:val="bottom"/>
            <w:tcBorders>
              <w:top w:val="single" w:sz="8" w:color="auto"/>
              <w:bottom w:val="single" w:sz="8" w:color="auto"/>
            </w:tcBorders>
          </w:tcPr>
          <w:p>
            <w:pPr>
              <w:jc w:val="right"/>
              <w:ind w:right="317"/>
              <w:spacing w:after="0" w:line="134" w:lineRule="exact"/>
              <w:rPr>
                <w:sz w:val="20"/>
                <w:szCs w:val="20"/>
                <w:color w:val="auto"/>
              </w:rPr>
            </w:pPr>
            <w:r>
              <w:rPr>
                <w:rFonts w:ascii="Arial" w:cs="Arial" w:eastAsia="Arial" w:hAnsi="Arial"/>
                <w:sz w:val="13"/>
                <w:szCs w:val="13"/>
                <w:b w:val="1"/>
                <w:bCs w:val="1"/>
                <w:color w:val="auto"/>
              </w:rPr>
              <w:t>March 29, 2026</w:t>
            </w: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1420" w:type="dxa"/>
            <w:vAlign w:val="bottom"/>
            <w:tcBorders>
              <w:top w:val="single" w:sz="8" w:color="auto"/>
              <w:bottom w:val="single" w:sz="8" w:color="auto"/>
            </w:tcBorders>
          </w:tcPr>
          <w:p>
            <w:pPr>
              <w:jc w:val="right"/>
              <w:ind w:right="317"/>
              <w:spacing w:after="0" w:line="134" w:lineRule="exact"/>
              <w:rPr>
                <w:sz w:val="20"/>
                <w:szCs w:val="20"/>
                <w:color w:val="auto"/>
              </w:rPr>
            </w:pPr>
            <w:r>
              <w:rPr>
                <w:rFonts w:ascii="Arial" w:cs="Arial" w:eastAsia="Arial" w:hAnsi="Arial"/>
                <w:sz w:val="13"/>
                <w:szCs w:val="13"/>
                <w:b w:val="1"/>
                <w:bCs w:val="1"/>
                <w:color w:val="auto"/>
              </w:rPr>
              <w:t>March 30, 2025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78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Net loss</w:t>
            </w:r>
          </w:p>
        </w:tc>
        <w:tc>
          <w:tcPr>
            <w:tcW w:w="1260" w:type="dxa"/>
            <w:vAlign w:val="bottom"/>
            <w:shd w:val="clear" w:color="auto" w:fill="CFF0FC"/>
          </w:tcPr>
          <w:p>
            <w:pPr>
              <w:jc w:val="right"/>
              <w:ind w:right="1145"/>
              <w:spacing w:after="0"/>
              <w:rPr>
                <w:sz w:val="20"/>
                <w:szCs w:val="20"/>
                <w:color w:val="auto"/>
              </w:rPr>
            </w:pPr>
            <w:r>
              <w:rPr>
                <w:rFonts w:ascii="Arial" w:cs="Arial" w:eastAsia="Arial" w:hAnsi="Arial"/>
                <w:sz w:val="9"/>
                <w:szCs w:val="9"/>
                <w:color w:val="auto"/>
                <w:w w:val="78"/>
              </w:rPr>
              <w:t>$</w:t>
            </w:r>
          </w:p>
        </w:tc>
        <w:tc>
          <w:tcPr>
            <w:tcW w:w="640" w:type="dxa"/>
            <w:vAlign w:val="bottom"/>
            <w:gridSpan w:val="2"/>
            <w:shd w:val="clear" w:color="auto" w:fill="CFF0FC"/>
          </w:tcPr>
          <w:p>
            <w:pPr>
              <w:jc w:val="right"/>
              <w:ind w:right="220"/>
              <w:spacing w:after="0" w:line="134" w:lineRule="exact"/>
              <w:rPr>
                <w:sz w:val="20"/>
                <w:szCs w:val="20"/>
                <w:color w:val="auto"/>
              </w:rPr>
            </w:pPr>
            <w:r>
              <w:rPr>
                <w:rFonts w:ascii="Arial" w:cs="Arial" w:eastAsia="Arial" w:hAnsi="Arial"/>
                <w:sz w:val="13"/>
                <w:szCs w:val="13"/>
                <w:color w:val="auto"/>
                <w:w w:val="97"/>
              </w:rPr>
              <w:t>(2,306)</w:t>
            </w:r>
          </w:p>
        </w:tc>
        <w:tc>
          <w:tcPr>
            <w:tcW w:w="220" w:type="dxa"/>
            <w:vAlign w:val="bottom"/>
            <w:shd w:val="clear" w:color="auto" w:fill="CFF0FC"/>
          </w:tcPr>
          <w:p>
            <w:pPr>
              <w:jc w:val="right"/>
              <w:ind w:right="113"/>
              <w:spacing w:after="0"/>
              <w:rPr>
                <w:sz w:val="20"/>
                <w:szCs w:val="20"/>
                <w:color w:val="auto"/>
              </w:rPr>
            </w:pPr>
            <w:r>
              <w:rPr>
                <w:rFonts w:ascii="Arial" w:cs="Arial" w:eastAsia="Arial" w:hAnsi="Arial"/>
                <w:sz w:val="9"/>
                <w:szCs w:val="9"/>
                <w:color w:val="auto"/>
                <w:w w:val="78"/>
              </w:rPr>
              <w:t>$</w:t>
            </w:r>
          </w:p>
        </w:tc>
        <w:tc>
          <w:tcPr>
            <w:tcW w:w="1560" w:type="dxa"/>
            <w:vAlign w:val="bottom"/>
            <w:gridSpan w:val="2"/>
            <w:shd w:val="clear" w:color="auto" w:fill="CFF0FC"/>
          </w:tcPr>
          <w:p>
            <w:pPr>
              <w:jc w:val="right"/>
              <w:ind w:right="100"/>
              <w:spacing w:after="0" w:line="134" w:lineRule="exact"/>
              <w:rPr>
                <w:sz w:val="20"/>
                <w:szCs w:val="20"/>
                <w:color w:val="auto"/>
              </w:rPr>
            </w:pPr>
            <w:r>
              <w:rPr>
                <w:rFonts w:ascii="Arial" w:cs="Arial" w:eastAsia="Arial" w:hAnsi="Arial"/>
                <w:sz w:val="13"/>
                <w:szCs w:val="13"/>
                <w:color w:val="auto"/>
              </w:rPr>
              <w:t>(16,794)</w:t>
            </w:r>
          </w:p>
        </w:tc>
        <w:tc>
          <w:tcPr>
            <w:tcW w:w="340" w:type="dxa"/>
            <w:vAlign w:val="bottom"/>
            <w:gridSpan w:val="2"/>
            <w:shd w:val="clear" w:color="auto" w:fill="CFF0FC"/>
          </w:tcPr>
          <w:p>
            <w:pPr>
              <w:jc w:val="right"/>
              <w:ind w:right="113"/>
              <w:spacing w:after="0" w:line="134" w:lineRule="exact"/>
              <w:rPr>
                <w:sz w:val="20"/>
                <w:szCs w:val="20"/>
                <w:color w:val="auto"/>
              </w:rPr>
            </w:pPr>
            <w:r>
              <w:rPr>
                <w:rFonts w:ascii="Arial" w:cs="Arial" w:eastAsia="Arial" w:hAnsi="Arial"/>
                <w:sz w:val="13"/>
                <w:szCs w:val="13"/>
                <w:color w:val="auto"/>
              </w:rPr>
              <w:t>$</w:t>
            </w:r>
          </w:p>
        </w:tc>
        <w:tc>
          <w:tcPr>
            <w:tcW w:w="1580" w:type="dxa"/>
            <w:vAlign w:val="bottom"/>
            <w:gridSpan w:val="2"/>
            <w:shd w:val="clear" w:color="auto" w:fill="CFF0FC"/>
          </w:tcPr>
          <w:p>
            <w:pPr>
              <w:jc w:val="right"/>
              <w:ind w:right="120"/>
              <w:spacing w:after="0" w:line="134" w:lineRule="exact"/>
              <w:rPr>
                <w:sz w:val="20"/>
                <w:szCs w:val="20"/>
                <w:color w:val="auto"/>
              </w:rPr>
            </w:pPr>
            <w:r>
              <w:rPr>
                <w:rFonts w:ascii="Arial" w:cs="Arial" w:eastAsia="Arial" w:hAnsi="Arial"/>
                <w:sz w:val="13"/>
                <w:szCs w:val="13"/>
                <w:color w:val="auto"/>
              </w:rPr>
              <w:t>(23,369)</w:t>
            </w:r>
          </w:p>
        </w:tc>
        <w:tc>
          <w:tcPr>
            <w:tcW w:w="320" w:type="dxa"/>
            <w:vAlign w:val="bottom"/>
            <w:gridSpan w:val="2"/>
            <w:shd w:val="clear" w:color="auto" w:fill="CFF0FC"/>
          </w:tcPr>
          <w:p>
            <w:pPr>
              <w:jc w:val="right"/>
              <w:ind w:right="77"/>
              <w:spacing w:after="0" w:line="134" w:lineRule="exact"/>
              <w:rPr>
                <w:sz w:val="20"/>
                <w:szCs w:val="20"/>
                <w:color w:val="auto"/>
              </w:rPr>
            </w:pPr>
            <w:r>
              <w:rPr>
                <w:rFonts w:ascii="Arial" w:cs="Arial" w:eastAsia="Arial" w:hAnsi="Arial"/>
                <w:sz w:val="13"/>
                <w:szCs w:val="13"/>
                <w:color w:val="auto"/>
              </w:rPr>
              <w:t>$</w:t>
            </w:r>
          </w:p>
        </w:tc>
        <w:tc>
          <w:tcPr>
            <w:tcW w:w="1540" w:type="dxa"/>
            <w:vAlign w:val="bottom"/>
            <w:gridSpan w:val="2"/>
            <w:shd w:val="clear" w:color="auto" w:fill="CFF0FC"/>
          </w:tcPr>
          <w:p>
            <w:pPr>
              <w:jc w:val="right"/>
              <w:ind w:right="80"/>
              <w:spacing w:after="0" w:line="134" w:lineRule="exact"/>
              <w:rPr>
                <w:sz w:val="20"/>
                <w:szCs w:val="20"/>
                <w:color w:val="auto"/>
              </w:rPr>
            </w:pPr>
            <w:r>
              <w:rPr>
                <w:rFonts w:ascii="Arial" w:cs="Arial" w:eastAsia="Arial" w:hAnsi="Arial"/>
                <w:sz w:val="13"/>
                <w:szCs w:val="13"/>
                <w:color w:val="auto"/>
              </w:rPr>
              <w:t>(35,818)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80" w:type="dxa"/>
            <w:vAlign w:val="bottom"/>
          </w:tcPr>
          <w:p>
            <w:pPr>
              <w:spacing w:after="0" w:line="142" w:lineRule="exact"/>
              <w:rPr>
                <w:sz w:val="20"/>
                <w:szCs w:val="20"/>
                <w:color w:val="auto"/>
              </w:rPr>
            </w:pPr>
            <w:r>
              <w:rPr>
                <w:rFonts w:ascii="Arial" w:cs="Arial" w:eastAsia="Arial" w:hAnsi="Arial"/>
                <w:sz w:val="13"/>
                <w:szCs w:val="13"/>
                <w:color w:val="auto"/>
              </w:rPr>
              <w:t>Interest expense, net</w:t>
            </w:r>
          </w:p>
        </w:tc>
        <w:tc>
          <w:tcPr>
            <w:tcW w:w="1260" w:type="dxa"/>
            <w:vAlign w:val="bottom"/>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Arial" w:cs="Arial" w:eastAsia="Arial" w:hAnsi="Arial"/>
                <w:sz w:val="13"/>
                <w:szCs w:val="13"/>
                <w:color w:val="auto"/>
              </w:rPr>
              <w:t>1,113</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jc w:val="right"/>
              <w:spacing w:after="0" w:line="142" w:lineRule="exact"/>
              <w:rPr>
                <w:sz w:val="20"/>
                <w:szCs w:val="20"/>
                <w:color w:val="auto"/>
              </w:rPr>
            </w:pPr>
            <w:r>
              <w:rPr>
                <w:rFonts w:ascii="Arial" w:cs="Arial" w:eastAsia="Arial" w:hAnsi="Arial"/>
                <w:sz w:val="13"/>
                <w:szCs w:val="13"/>
                <w:color w:val="auto"/>
              </w:rPr>
              <w:t>2,219</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jc w:val="right"/>
              <w:spacing w:after="0" w:line="142" w:lineRule="exact"/>
              <w:rPr>
                <w:sz w:val="20"/>
                <w:szCs w:val="20"/>
                <w:color w:val="auto"/>
              </w:rPr>
            </w:pPr>
            <w:r>
              <w:rPr>
                <w:rFonts w:ascii="Arial" w:cs="Arial" w:eastAsia="Arial" w:hAnsi="Arial"/>
                <w:sz w:val="13"/>
                <w:szCs w:val="13"/>
                <w:color w:val="auto"/>
              </w:rPr>
              <w:t>4,070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jc w:val="right"/>
              <w:spacing w:after="0" w:line="142" w:lineRule="exact"/>
              <w:rPr>
                <w:sz w:val="20"/>
                <w:szCs w:val="20"/>
                <w:color w:val="auto"/>
              </w:rPr>
            </w:pPr>
            <w:r>
              <w:rPr>
                <w:rFonts w:ascii="Arial" w:cs="Arial" w:eastAsia="Arial" w:hAnsi="Arial"/>
                <w:sz w:val="13"/>
                <w:szCs w:val="13"/>
                <w:color w:val="auto"/>
              </w:rPr>
              <w:t>6,690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8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Provision for income taxes</w:t>
            </w:r>
          </w:p>
        </w:tc>
        <w:tc>
          <w:tcPr>
            <w:tcW w:w="126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836</w:t>
            </w: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499</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1,984</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4,021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80" w:type="dxa"/>
            <w:vAlign w:val="bottom"/>
          </w:tcPr>
          <w:p>
            <w:pPr>
              <w:spacing w:after="0" w:line="142" w:lineRule="exact"/>
              <w:rPr>
                <w:sz w:val="20"/>
                <w:szCs w:val="20"/>
                <w:color w:val="auto"/>
              </w:rPr>
            </w:pPr>
            <w:r>
              <w:rPr>
                <w:rFonts w:ascii="Arial" w:cs="Arial" w:eastAsia="Arial" w:hAnsi="Arial"/>
                <w:sz w:val="13"/>
                <w:szCs w:val="13"/>
                <w:color w:val="auto"/>
              </w:rPr>
              <w:t xml:space="preserve">Depreciation and amortization expense </w:t>
            </w:r>
            <w:r>
              <w:rPr>
                <w:rFonts w:ascii="Arial" w:cs="Arial" w:eastAsia="Arial" w:hAnsi="Arial"/>
                <w:sz w:val="16"/>
                <w:szCs w:val="16"/>
                <w:color w:val="auto"/>
                <w:vertAlign w:val="superscript"/>
              </w:rPr>
              <w:t>(1)</w:t>
            </w:r>
          </w:p>
        </w:tc>
        <w:tc>
          <w:tcPr>
            <w:tcW w:w="12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6,114</w:t>
            </w:r>
          </w:p>
        </w:tc>
        <w:tc>
          <w:tcPr>
            <w:tcW w:w="2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6,259</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17,926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19,046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78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EBITDA</w:t>
            </w:r>
          </w:p>
        </w:tc>
        <w:tc>
          <w:tcPr>
            <w:tcW w:w="1260" w:type="dxa"/>
            <w:vAlign w:val="bottom"/>
            <w:shd w:val="clear" w:color="auto" w:fill="CFF0FC"/>
          </w:tcPr>
          <w:p>
            <w:pPr>
              <w:spacing w:after="0"/>
              <w:rPr>
                <w:sz w:val="11"/>
                <w:szCs w:val="11"/>
                <w:color w:val="auto"/>
              </w:rPr>
            </w:pPr>
          </w:p>
        </w:tc>
        <w:tc>
          <w:tcPr>
            <w:tcW w:w="3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5,757</w:t>
            </w:r>
          </w:p>
        </w:tc>
        <w:tc>
          <w:tcPr>
            <w:tcW w:w="2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560" w:type="dxa"/>
            <w:vAlign w:val="bottom"/>
            <w:gridSpan w:val="2"/>
            <w:shd w:val="clear" w:color="auto" w:fill="CFF0FC"/>
          </w:tcPr>
          <w:p>
            <w:pPr>
              <w:jc w:val="right"/>
              <w:ind w:right="100"/>
              <w:spacing w:after="0" w:line="134" w:lineRule="exact"/>
              <w:rPr>
                <w:sz w:val="20"/>
                <w:szCs w:val="20"/>
                <w:color w:val="auto"/>
              </w:rPr>
            </w:pPr>
            <w:r>
              <w:rPr>
                <w:rFonts w:ascii="Arial" w:cs="Arial" w:eastAsia="Arial" w:hAnsi="Arial"/>
                <w:sz w:val="13"/>
                <w:szCs w:val="13"/>
                <w:color w:val="auto"/>
              </w:rPr>
              <w:t>(7,817)</w:t>
            </w:r>
          </w:p>
        </w:tc>
        <w:tc>
          <w:tcPr>
            <w:tcW w:w="1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2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611</w:t>
            </w: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540" w:type="dxa"/>
            <w:vAlign w:val="bottom"/>
            <w:gridSpan w:val="2"/>
            <w:shd w:val="clear" w:color="auto" w:fill="CFF0FC"/>
          </w:tcPr>
          <w:p>
            <w:pPr>
              <w:jc w:val="right"/>
              <w:ind w:right="80"/>
              <w:spacing w:after="0" w:line="134" w:lineRule="exact"/>
              <w:rPr>
                <w:sz w:val="20"/>
                <w:szCs w:val="20"/>
                <w:color w:val="auto"/>
              </w:rPr>
            </w:pPr>
            <w:r>
              <w:rPr>
                <w:rFonts w:ascii="Arial" w:cs="Arial" w:eastAsia="Arial" w:hAnsi="Arial"/>
                <w:sz w:val="13"/>
                <w:szCs w:val="13"/>
                <w:color w:val="auto"/>
              </w:rPr>
              <w:t>(6,061)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7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378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 xml:space="preserve">Restructuring costs, net </w:t>
            </w:r>
            <w:r>
              <w:rPr>
                <w:rFonts w:ascii="Arial" w:cs="Arial" w:eastAsia="Arial" w:hAnsi="Arial"/>
                <w:sz w:val="16"/>
                <w:szCs w:val="16"/>
                <w:color w:val="auto"/>
                <w:vertAlign w:val="superscript"/>
              </w:rPr>
              <w:t>(2)</w:t>
            </w:r>
          </w:p>
        </w:tc>
        <w:tc>
          <w:tcPr>
            <w:tcW w:w="126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280"/>
              <w:spacing w:after="0" w:line="142" w:lineRule="exact"/>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1560" w:type="dxa"/>
            <w:vAlign w:val="bottom"/>
            <w:gridSpan w:val="2"/>
            <w:shd w:val="clear" w:color="auto" w:fill="CFF0FC"/>
          </w:tcPr>
          <w:p>
            <w:pPr>
              <w:jc w:val="right"/>
              <w:ind w:right="160"/>
              <w:spacing w:after="0" w:line="142"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785</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540" w:type="dxa"/>
            <w:vAlign w:val="bottom"/>
            <w:gridSpan w:val="2"/>
            <w:shd w:val="clear" w:color="auto" w:fill="CFF0FC"/>
          </w:tcPr>
          <w:p>
            <w:pPr>
              <w:jc w:val="right"/>
              <w:ind w:right="120"/>
              <w:spacing w:after="0" w:line="142"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80" w:type="dxa"/>
            <w:vAlign w:val="bottom"/>
          </w:tcPr>
          <w:p>
            <w:pPr>
              <w:spacing w:after="0" w:line="142" w:lineRule="exact"/>
              <w:rPr>
                <w:sz w:val="20"/>
                <w:szCs w:val="20"/>
                <w:color w:val="auto"/>
              </w:rPr>
            </w:pPr>
            <w:r>
              <w:rPr>
                <w:rFonts w:ascii="Arial" w:cs="Arial" w:eastAsia="Arial" w:hAnsi="Arial"/>
                <w:sz w:val="13"/>
                <w:szCs w:val="13"/>
                <w:color w:val="auto"/>
              </w:rPr>
              <w:t xml:space="preserve">Transition costs </w:t>
            </w:r>
            <w:r>
              <w:rPr>
                <w:rFonts w:ascii="Arial" w:cs="Arial" w:eastAsia="Arial" w:hAnsi="Arial"/>
                <w:sz w:val="16"/>
                <w:szCs w:val="16"/>
                <w:color w:val="auto"/>
                <w:vertAlign w:val="superscript"/>
              </w:rPr>
              <w:t>(3)</w:t>
            </w:r>
          </w:p>
        </w:tc>
        <w:tc>
          <w:tcPr>
            <w:tcW w:w="1260" w:type="dxa"/>
            <w:vAlign w:val="bottom"/>
          </w:tcPr>
          <w:p>
            <w:pPr>
              <w:spacing w:after="0"/>
              <w:rPr>
                <w:sz w:val="12"/>
                <w:szCs w:val="12"/>
                <w:color w:val="auto"/>
              </w:rPr>
            </w:pPr>
          </w:p>
        </w:tc>
        <w:tc>
          <w:tcPr>
            <w:tcW w:w="640" w:type="dxa"/>
            <w:vAlign w:val="bottom"/>
            <w:gridSpan w:val="2"/>
          </w:tcPr>
          <w:p>
            <w:pPr>
              <w:jc w:val="right"/>
              <w:ind w:right="280"/>
              <w:spacing w:after="0" w:line="142"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420" w:type="dxa"/>
            <w:vAlign w:val="bottom"/>
          </w:tcPr>
          <w:p>
            <w:pPr>
              <w:jc w:val="right"/>
              <w:spacing w:after="0" w:line="142" w:lineRule="exact"/>
              <w:rPr>
                <w:sz w:val="20"/>
                <w:szCs w:val="20"/>
                <w:color w:val="auto"/>
              </w:rPr>
            </w:pPr>
            <w:r>
              <w:rPr>
                <w:rFonts w:ascii="Arial" w:cs="Arial" w:eastAsia="Arial" w:hAnsi="Arial"/>
                <w:sz w:val="13"/>
                <w:szCs w:val="13"/>
                <w:color w:val="auto"/>
              </w:rPr>
              <w:t>2,900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jc w:val="right"/>
              <w:spacing w:after="0" w:line="142" w:lineRule="exact"/>
              <w:rPr>
                <w:sz w:val="20"/>
                <w:szCs w:val="20"/>
                <w:color w:val="auto"/>
              </w:rPr>
            </w:pPr>
            <w:r>
              <w:rPr>
                <w:rFonts w:ascii="Arial" w:cs="Arial" w:eastAsia="Arial" w:hAnsi="Arial"/>
                <w:sz w:val="13"/>
                <w:szCs w:val="13"/>
                <w:color w:val="auto"/>
              </w:rPr>
              <w:t>1,068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jc w:val="right"/>
              <w:spacing w:after="0" w:line="142" w:lineRule="exact"/>
              <w:rPr>
                <w:sz w:val="20"/>
                <w:szCs w:val="20"/>
                <w:color w:val="auto"/>
              </w:rPr>
            </w:pPr>
            <w:r>
              <w:rPr>
                <w:rFonts w:ascii="Arial" w:cs="Arial" w:eastAsia="Arial" w:hAnsi="Arial"/>
                <w:sz w:val="13"/>
                <w:szCs w:val="13"/>
                <w:color w:val="auto"/>
              </w:rPr>
              <w:t>2,900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8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 xml:space="preserve">Gain on foreign currency transaction, net </w:t>
            </w:r>
            <w:r>
              <w:rPr>
                <w:rFonts w:ascii="Arial" w:cs="Arial" w:eastAsia="Arial" w:hAnsi="Arial"/>
                <w:sz w:val="16"/>
                <w:szCs w:val="16"/>
                <w:color w:val="auto"/>
                <w:vertAlign w:val="superscript"/>
              </w:rPr>
              <w:t>(4)</w:t>
            </w:r>
          </w:p>
        </w:tc>
        <w:tc>
          <w:tcPr>
            <w:tcW w:w="126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220"/>
              <w:spacing w:after="0" w:line="142" w:lineRule="exact"/>
              <w:rPr>
                <w:sz w:val="20"/>
                <w:szCs w:val="20"/>
                <w:color w:val="auto"/>
              </w:rPr>
            </w:pPr>
            <w:r>
              <w:rPr>
                <w:rFonts w:ascii="Arial" w:cs="Arial" w:eastAsia="Arial" w:hAnsi="Arial"/>
                <w:sz w:val="13"/>
                <w:szCs w:val="13"/>
                <w:color w:val="auto"/>
                <w:w w:val="97"/>
              </w:rPr>
              <w:t>(1,775)</w:t>
            </w:r>
          </w:p>
        </w:tc>
        <w:tc>
          <w:tcPr>
            <w:tcW w:w="220" w:type="dxa"/>
            <w:vAlign w:val="bottom"/>
            <w:shd w:val="clear" w:color="auto" w:fill="CFF0FC"/>
          </w:tcPr>
          <w:p>
            <w:pPr>
              <w:spacing w:after="0"/>
              <w:rPr>
                <w:sz w:val="12"/>
                <w:szCs w:val="12"/>
                <w:color w:val="auto"/>
              </w:rPr>
            </w:pPr>
          </w:p>
        </w:tc>
        <w:tc>
          <w:tcPr>
            <w:tcW w:w="1560" w:type="dxa"/>
            <w:vAlign w:val="bottom"/>
            <w:gridSpan w:val="2"/>
            <w:shd w:val="clear" w:color="auto" w:fill="CFF0FC"/>
          </w:tcPr>
          <w:p>
            <w:pPr>
              <w:jc w:val="right"/>
              <w:ind w:right="160"/>
              <w:spacing w:after="0" w:line="142"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580" w:type="dxa"/>
            <w:vAlign w:val="bottom"/>
            <w:gridSpan w:val="2"/>
            <w:shd w:val="clear" w:color="auto" w:fill="CFF0FC"/>
          </w:tcPr>
          <w:p>
            <w:pPr>
              <w:jc w:val="right"/>
              <w:ind w:right="120"/>
              <w:spacing w:after="0" w:line="142" w:lineRule="exact"/>
              <w:rPr>
                <w:sz w:val="20"/>
                <w:szCs w:val="20"/>
                <w:color w:val="auto"/>
              </w:rPr>
            </w:pPr>
            <w:r>
              <w:rPr>
                <w:rFonts w:ascii="Arial" w:cs="Arial" w:eastAsia="Arial" w:hAnsi="Arial"/>
                <w:sz w:val="13"/>
                <w:szCs w:val="13"/>
                <w:color w:val="auto"/>
              </w:rPr>
              <w:t>(1,775)</w:t>
            </w: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540" w:type="dxa"/>
            <w:vAlign w:val="bottom"/>
            <w:gridSpan w:val="2"/>
            <w:shd w:val="clear" w:color="auto" w:fill="CFF0FC"/>
          </w:tcPr>
          <w:p>
            <w:pPr>
              <w:jc w:val="right"/>
              <w:ind w:right="120"/>
              <w:spacing w:after="0" w:line="142"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80" w:type="dxa"/>
            <w:vAlign w:val="bottom"/>
          </w:tcPr>
          <w:p>
            <w:pPr>
              <w:spacing w:after="0" w:line="142" w:lineRule="exact"/>
              <w:rPr>
                <w:sz w:val="20"/>
                <w:szCs w:val="20"/>
                <w:color w:val="auto"/>
              </w:rPr>
            </w:pPr>
            <w:r>
              <w:rPr>
                <w:rFonts w:ascii="Arial" w:cs="Arial" w:eastAsia="Arial" w:hAnsi="Arial"/>
                <w:sz w:val="13"/>
                <w:szCs w:val="13"/>
                <w:color w:val="auto"/>
              </w:rPr>
              <w:t xml:space="preserve">Gain on sale of assets </w:t>
            </w:r>
            <w:r>
              <w:rPr>
                <w:rFonts w:ascii="Arial" w:cs="Arial" w:eastAsia="Arial" w:hAnsi="Arial"/>
                <w:sz w:val="16"/>
                <w:szCs w:val="16"/>
                <w:color w:val="auto"/>
                <w:vertAlign w:val="superscript"/>
              </w:rPr>
              <w:t>(5)</w:t>
            </w:r>
          </w:p>
        </w:tc>
        <w:tc>
          <w:tcPr>
            <w:tcW w:w="1260" w:type="dxa"/>
            <w:vAlign w:val="bottom"/>
          </w:tcPr>
          <w:p>
            <w:pPr>
              <w:spacing w:after="0"/>
              <w:rPr>
                <w:sz w:val="12"/>
                <w:szCs w:val="12"/>
                <w:color w:val="auto"/>
              </w:rPr>
            </w:pPr>
          </w:p>
        </w:tc>
        <w:tc>
          <w:tcPr>
            <w:tcW w:w="640" w:type="dxa"/>
            <w:vAlign w:val="bottom"/>
            <w:gridSpan w:val="2"/>
          </w:tcPr>
          <w:p>
            <w:pPr>
              <w:jc w:val="right"/>
              <w:ind w:right="280"/>
              <w:spacing w:after="0" w:line="142"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560" w:type="dxa"/>
            <w:vAlign w:val="bottom"/>
            <w:gridSpan w:val="2"/>
          </w:tcPr>
          <w:p>
            <w:pPr>
              <w:jc w:val="right"/>
              <w:ind w:right="160"/>
              <w:spacing w:after="0" w:line="142"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gridSpan w:val="2"/>
          </w:tcPr>
          <w:p>
            <w:pPr>
              <w:jc w:val="right"/>
              <w:ind w:right="160"/>
              <w:spacing w:after="0" w:line="142"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2"/>
          </w:tcPr>
          <w:p>
            <w:pPr>
              <w:jc w:val="right"/>
              <w:ind w:right="80"/>
              <w:spacing w:after="0" w:line="142" w:lineRule="exact"/>
              <w:rPr>
                <w:sz w:val="20"/>
                <w:szCs w:val="20"/>
                <w:color w:val="auto"/>
              </w:rPr>
            </w:pPr>
            <w:r>
              <w:rPr>
                <w:rFonts w:ascii="Arial" w:cs="Arial" w:eastAsia="Arial" w:hAnsi="Arial"/>
                <w:sz w:val="13"/>
                <w:szCs w:val="13"/>
                <w:color w:val="auto"/>
              </w:rPr>
              <w:t>(4,296)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80" w:type="dxa"/>
            <w:vAlign w:val="bottom"/>
            <w:tcBorders>
              <w:bottom w:val="single" w:sz="8" w:color="CFF0FC"/>
            </w:tcBorders>
            <w:shd w:val="clear" w:color="auto" w:fill="CFF0FC"/>
          </w:tcPr>
          <w:p>
            <w:pPr>
              <w:spacing w:after="0" w:line="134" w:lineRule="exact"/>
              <w:rPr>
                <w:sz w:val="20"/>
                <w:szCs w:val="20"/>
                <w:color w:val="auto"/>
              </w:rPr>
            </w:pPr>
            <w:r>
              <w:rPr>
                <w:rFonts w:ascii="Arial" w:cs="Arial" w:eastAsia="Arial" w:hAnsi="Arial"/>
                <w:sz w:val="13"/>
                <w:szCs w:val="13"/>
                <w:color w:val="auto"/>
              </w:rPr>
              <w:t>Adjusted EBITDA</w:t>
            </w:r>
          </w:p>
        </w:tc>
        <w:tc>
          <w:tcPr>
            <w:tcW w:w="1260" w:type="dxa"/>
            <w:vAlign w:val="bottom"/>
            <w:tcBorders>
              <w:top w:val="single" w:sz="8" w:color="auto"/>
              <w:bottom w:val="single" w:sz="8" w:color="auto"/>
            </w:tcBorders>
            <w:shd w:val="clear" w:color="auto" w:fill="CFF0FC"/>
          </w:tcPr>
          <w:p>
            <w:pPr>
              <w:jc w:val="right"/>
              <w:ind w:right="1145"/>
              <w:spacing w:after="0"/>
              <w:rPr>
                <w:sz w:val="20"/>
                <w:szCs w:val="20"/>
                <w:color w:val="auto"/>
              </w:rPr>
            </w:pPr>
            <w:r>
              <w:rPr>
                <w:rFonts w:ascii="Arial" w:cs="Arial" w:eastAsia="Arial" w:hAnsi="Arial"/>
                <w:sz w:val="9"/>
                <w:szCs w:val="9"/>
                <w:color w:val="auto"/>
                <w:w w:val="78"/>
              </w:rPr>
              <w:t>$</w:t>
            </w:r>
          </w:p>
        </w:tc>
        <w:tc>
          <w:tcPr>
            <w:tcW w:w="380" w:type="dxa"/>
            <w:vAlign w:val="bottom"/>
            <w:tcBorders>
              <w:top w:val="single" w:sz="8" w:color="auto"/>
              <w:bottom w:val="single" w:sz="8" w:color="auto"/>
            </w:tcBorders>
            <w:shd w:val="clear" w:color="auto" w:fill="CFF0FC"/>
          </w:tcPr>
          <w:p>
            <w:pPr>
              <w:jc w:val="right"/>
              <w:spacing w:after="0" w:line="122" w:lineRule="exact"/>
              <w:rPr>
                <w:sz w:val="20"/>
                <w:szCs w:val="20"/>
                <w:color w:val="auto"/>
              </w:rPr>
            </w:pPr>
            <w:r>
              <w:rPr>
                <w:rFonts w:ascii="Arial" w:cs="Arial" w:eastAsia="Arial" w:hAnsi="Arial"/>
                <w:sz w:val="13"/>
                <w:szCs w:val="13"/>
                <w:color w:val="auto"/>
              </w:rPr>
              <w:t>3,982</w:t>
            </w:r>
          </w:p>
        </w:tc>
        <w:tc>
          <w:tcPr>
            <w:tcW w:w="2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top w:val="single" w:sz="8" w:color="auto"/>
              <w:bottom w:val="single" w:sz="8" w:color="auto"/>
            </w:tcBorders>
            <w:shd w:val="clear" w:color="auto" w:fill="CFF0FC"/>
          </w:tcPr>
          <w:p>
            <w:pPr>
              <w:jc w:val="right"/>
              <w:ind w:right="113"/>
              <w:spacing w:after="0"/>
              <w:rPr>
                <w:sz w:val="20"/>
                <w:szCs w:val="20"/>
                <w:color w:val="auto"/>
              </w:rPr>
            </w:pPr>
            <w:r>
              <w:rPr>
                <w:rFonts w:ascii="Arial" w:cs="Arial" w:eastAsia="Arial" w:hAnsi="Arial"/>
                <w:sz w:val="9"/>
                <w:szCs w:val="9"/>
                <w:color w:val="auto"/>
                <w:w w:val="78"/>
              </w:rPr>
              <w:t>$</w:t>
            </w:r>
          </w:p>
        </w:tc>
        <w:tc>
          <w:tcPr>
            <w:tcW w:w="1420" w:type="dxa"/>
            <w:vAlign w:val="bottom"/>
            <w:tcBorders>
              <w:top w:val="single" w:sz="8" w:color="auto"/>
              <w:bottom w:val="single" w:sz="8" w:color="auto"/>
            </w:tcBorders>
            <w:shd w:val="clear" w:color="auto" w:fill="CFF0FC"/>
          </w:tcPr>
          <w:p>
            <w:pPr>
              <w:jc w:val="right"/>
              <w:spacing w:after="0" w:line="122" w:lineRule="exact"/>
              <w:rPr>
                <w:sz w:val="20"/>
                <w:szCs w:val="20"/>
                <w:color w:val="auto"/>
              </w:rPr>
            </w:pPr>
            <w:r>
              <w:rPr>
                <w:rFonts w:ascii="Arial" w:cs="Arial" w:eastAsia="Arial" w:hAnsi="Arial"/>
                <w:sz w:val="13"/>
                <w:szCs w:val="13"/>
                <w:color w:val="auto"/>
              </w:rPr>
              <w:t>(4,917)</w:t>
            </w:r>
          </w:p>
        </w:tc>
        <w:tc>
          <w:tcPr>
            <w:tcW w:w="1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top w:val="single" w:sz="8" w:color="auto"/>
              <w:bottom w:val="single" w:sz="8" w:color="auto"/>
            </w:tcBorders>
            <w:shd w:val="clear" w:color="auto" w:fill="CFF0FC"/>
          </w:tcPr>
          <w:p>
            <w:pPr>
              <w:jc w:val="right"/>
              <w:ind w:right="113"/>
              <w:spacing w:after="0"/>
              <w:rPr>
                <w:sz w:val="20"/>
                <w:szCs w:val="20"/>
                <w:color w:val="auto"/>
              </w:rPr>
            </w:pPr>
            <w:r>
              <w:rPr>
                <w:rFonts w:ascii="Arial" w:cs="Arial" w:eastAsia="Arial" w:hAnsi="Arial"/>
                <w:sz w:val="9"/>
                <w:szCs w:val="9"/>
                <w:color w:val="auto"/>
                <w:w w:val="78"/>
              </w:rPr>
              <w:t>$</w:t>
            </w:r>
          </w:p>
        </w:tc>
        <w:tc>
          <w:tcPr>
            <w:tcW w:w="1420" w:type="dxa"/>
            <w:vAlign w:val="bottom"/>
            <w:tcBorders>
              <w:top w:val="single" w:sz="8" w:color="auto"/>
              <w:bottom w:val="single" w:sz="8" w:color="auto"/>
            </w:tcBorders>
            <w:shd w:val="clear" w:color="auto" w:fill="CFF0FC"/>
          </w:tcPr>
          <w:p>
            <w:pPr>
              <w:jc w:val="right"/>
              <w:spacing w:after="0" w:line="122" w:lineRule="exact"/>
              <w:rPr>
                <w:sz w:val="20"/>
                <w:szCs w:val="20"/>
                <w:color w:val="auto"/>
              </w:rPr>
            </w:pPr>
            <w:r>
              <w:rPr>
                <w:rFonts w:ascii="Arial" w:cs="Arial" w:eastAsia="Arial" w:hAnsi="Arial"/>
                <w:sz w:val="13"/>
                <w:szCs w:val="13"/>
                <w:color w:val="auto"/>
              </w:rPr>
              <w:t>689</w:t>
            </w:r>
          </w:p>
        </w:tc>
        <w:tc>
          <w:tcPr>
            <w:tcW w:w="16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top w:val="single" w:sz="8" w:color="auto"/>
              <w:bottom w:val="single" w:sz="8" w:color="auto"/>
            </w:tcBorders>
            <w:shd w:val="clear" w:color="auto" w:fill="CFF0FC"/>
          </w:tcPr>
          <w:p>
            <w:pPr>
              <w:jc w:val="right"/>
              <w:ind w:right="77"/>
              <w:spacing w:after="0" w:line="122" w:lineRule="exact"/>
              <w:rPr>
                <w:sz w:val="20"/>
                <w:szCs w:val="20"/>
                <w:color w:val="auto"/>
              </w:rPr>
            </w:pPr>
            <w:r>
              <w:rPr>
                <w:rFonts w:ascii="Arial" w:cs="Arial" w:eastAsia="Arial" w:hAnsi="Arial"/>
                <w:sz w:val="13"/>
                <w:szCs w:val="13"/>
                <w:color w:val="auto"/>
                <w:w w:val="82"/>
              </w:rPr>
              <w:t>$</w:t>
            </w:r>
          </w:p>
        </w:tc>
        <w:tc>
          <w:tcPr>
            <w:tcW w:w="1420" w:type="dxa"/>
            <w:vAlign w:val="bottom"/>
            <w:tcBorders>
              <w:top w:val="single" w:sz="8" w:color="auto"/>
              <w:bottom w:val="single" w:sz="8" w:color="auto"/>
            </w:tcBorders>
            <w:shd w:val="clear" w:color="auto" w:fill="CFF0FC"/>
          </w:tcPr>
          <w:p>
            <w:pPr>
              <w:jc w:val="right"/>
              <w:spacing w:after="0" w:line="122" w:lineRule="exact"/>
              <w:rPr>
                <w:sz w:val="20"/>
                <w:szCs w:val="20"/>
                <w:color w:val="auto"/>
              </w:rPr>
            </w:pPr>
            <w:r>
              <w:rPr>
                <w:rFonts w:ascii="Arial" w:cs="Arial" w:eastAsia="Arial" w:hAnsi="Arial"/>
                <w:sz w:val="13"/>
                <w:szCs w:val="13"/>
                <w:color w:val="auto"/>
              </w:rPr>
              <w:t>(7,457)</w:t>
            </w:r>
          </w:p>
        </w:tc>
        <w:tc>
          <w:tcPr>
            <w:tcW w:w="1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3454400</wp:posOffset>
            </wp:positionH>
            <wp:positionV relativeFrom="paragraph">
              <wp:posOffset>-21590</wp:posOffset>
            </wp:positionV>
            <wp:extent cx="67310"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3454400</wp:posOffset>
            </wp:positionH>
            <wp:positionV relativeFrom="paragraph">
              <wp:posOffset>-6985</wp:posOffset>
            </wp:positionV>
            <wp:extent cx="67310"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4663440</wp:posOffset>
            </wp:positionH>
            <wp:positionV relativeFrom="paragraph">
              <wp:posOffset>-21590</wp:posOffset>
            </wp:positionV>
            <wp:extent cx="67310"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4663440</wp:posOffset>
            </wp:positionH>
            <wp:positionV relativeFrom="paragraph">
              <wp:posOffset>-6985</wp:posOffset>
            </wp:positionV>
            <wp:extent cx="67310"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5872480</wp:posOffset>
            </wp:positionH>
            <wp:positionV relativeFrom="paragraph">
              <wp:posOffset>-21590</wp:posOffset>
            </wp:positionV>
            <wp:extent cx="67310"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5872480</wp:posOffset>
            </wp:positionH>
            <wp:positionV relativeFrom="paragraph">
              <wp:posOffset>-6985</wp:posOffset>
            </wp:positionV>
            <wp:extent cx="67310"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7081520</wp:posOffset>
            </wp:positionH>
            <wp:positionV relativeFrom="paragraph">
              <wp:posOffset>-21590</wp:posOffset>
            </wp:positionV>
            <wp:extent cx="67310"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7081520</wp:posOffset>
            </wp:positionH>
            <wp:positionV relativeFrom="paragraph">
              <wp:posOffset>-6985</wp:posOffset>
            </wp:positionV>
            <wp:extent cx="67310"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pacing w:after="0" w:line="173" w:lineRule="exact"/>
        <w:rPr>
          <w:sz w:val="20"/>
          <w:szCs w:val="20"/>
          <w:color w:val="auto"/>
        </w:rPr>
      </w:pPr>
    </w:p>
    <w:p>
      <w:pPr>
        <w:ind w:left="365" w:right="20" w:hanging="365"/>
        <w:spacing w:after="0" w:line="254" w:lineRule="auto"/>
        <w:tabs>
          <w:tab w:leader="none" w:pos="365" w:val="left"/>
        </w:tabs>
        <w:numPr>
          <w:ilvl w:val="0"/>
          <w:numId w:val="5"/>
        </w:numPr>
        <w:rPr>
          <w:rFonts w:ascii="Arial" w:cs="Arial" w:eastAsia="Arial" w:hAnsi="Arial"/>
          <w:sz w:val="13"/>
          <w:szCs w:val="13"/>
          <w:color w:val="auto"/>
        </w:rPr>
      </w:pPr>
      <w:r>
        <w:rPr>
          <w:rFonts w:ascii="Arial" w:cs="Arial" w:eastAsia="Arial" w:hAnsi="Arial"/>
          <w:sz w:val="13"/>
          <w:szCs w:val="13"/>
          <w:color w:val="auto"/>
        </w:rPr>
        <w:t>Within this reconciliation, depreciation and amortization expense excludes the amortization of debt issuance costs, which are reflected in interest expense, net. However, within the accompanying Condensed Consolidated Statements of Cash Flows, amortization of debt issuance costs is reflected in depreciation and amortization expense.</w:t>
      </w:r>
    </w:p>
    <w:p>
      <w:pPr>
        <w:spacing w:after="0" w:line="62" w:lineRule="exact"/>
        <w:rPr>
          <w:rFonts w:ascii="Arial" w:cs="Arial" w:eastAsia="Arial" w:hAnsi="Arial"/>
          <w:sz w:val="13"/>
          <w:szCs w:val="13"/>
          <w:color w:val="auto"/>
        </w:rPr>
      </w:pPr>
    </w:p>
    <w:p>
      <w:pPr>
        <w:ind w:left="365" w:hanging="365"/>
        <w:spacing w:after="0" w:line="254" w:lineRule="auto"/>
        <w:tabs>
          <w:tab w:leader="none" w:pos="365" w:val="left"/>
        </w:tabs>
        <w:numPr>
          <w:ilvl w:val="0"/>
          <w:numId w:val="5"/>
        </w:numPr>
        <w:rPr>
          <w:rFonts w:ascii="Arial" w:cs="Arial" w:eastAsia="Arial" w:hAnsi="Arial"/>
          <w:sz w:val="13"/>
          <w:szCs w:val="13"/>
          <w:color w:val="auto"/>
        </w:rPr>
      </w:pPr>
      <w:r>
        <w:rPr>
          <w:rFonts w:ascii="Arial" w:cs="Arial" w:eastAsia="Arial" w:hAnsi="Arial"/>
          <w:sz w:val="13"/>
          <w:szCs w:val="13"/>
          <w:color w:val="auto"/>
        </w:rPr>
        <w:t>In the second quarter of fiscal 2026, UNIFI recorded employee separation costs of $1,093 in connection with the Fiscal 2026 Profit Improvement Plan and a $308 gain from disposals of assets from the consolidation of Americas yarn manufacturing operations.</w:t>
      </w:r>
    </w:p>
    <w:p>
      <w:pPr>
        <w:spacing w:after="0" w:line="62" w:lineRule="exact"/>
        <w:rPr>
          <w:rFonts w:ascii="Arial" w:cs="Arial" w:eastAsia="Arial" w:hAnsi="Arial"/>
          <w:sz w:val="13"/>
          <w:szCs w:val="13"/>
          <w:color w:val="auto"/>
        </w:rPr>
      </w:pPr>
    </w:p>
    <w:p>
      <w:pPr>
        <w:jc w:val="both"/>
        <w:ind w:left="365" w:hanging="365"/>
        <w:spacing w:after="0" w:line="256" w:lineRule="auto"/>
        <w:tabs>
          <w:tab w:leader="none" w:pos="365" w:val="left"/>
        </w:tabs>
        <w:numPr>
          <w:ilvl w:val="0"/>
          <w:numId w:val="5"/>
        </w:numPr>
        <w:rPr>
          <w:rFonts w:ascii="Arial" w:cs="Arial" w:eastAsia="Arial" w:hAnsi="Arial"/>
          <w:sz w:val="12"/>
          <w:szCs w:val="12"/>
          <w:color w:val="auto"/>
        </w:rPr>
      </w:pPr>
      <w:r>
        <w:rPr>
          <w:rFonts w:ascii="Arial" w:cs="Arial" w:eastAsia="Arial" w:hAnsi="Arial"/>
          <w:sz w:val="12"/>
          <w:szCs w:val="12"/>
          <w:color w:val="auto"/>
        </w:rPr>
        <w:t>In the first quarter of fiscal 2026, UNIFI incurred various transition costs totaling $1,068 in connection with the consolidation of its yarn manufacturing operations including (i) facility closure and equipment relocation costs (including asset impairments and disposals) of $1,021, and (ii) employee separation costs of $47. The facility closure, equipment relocation, and employee separation costs were all recorded within Restructuring costs in the Condensed Consolidated Statements of Operations. In the third quarter of fiscal 2025, UNIFI incurred various transition costs totaling $2,900 in connection with the consolidation of its yarn manufacturing operations including (i) facility closure and equipment relocation costs of $1,088, (ii) inventory write-downs of $1,000, (iii) excess manufacturing costs of $580, and (iv) employee separation or retention costs of $232. The facility closure, equipment relocation, employee separation and retention costs were all recorded within Restructuring costs and the inventory write-downs and excess manufacturing costs were recorded within Cost of sales in the Condensed Consolidated Statements of Operations.</w:t>
      </w:r>
    </w:p>
    <w:p>
      <w:pPr>
        <w:spacing w:after="0" w:line="62" w:lineRule="exact"/>
        <w:rPr>
          <w:rFonts w:ascii="Arial" w:cs="Arial" w:eastAsia="Arial" w:hAnsi="Arial"/>
          <w:sz w:val="12"/>
          <w:szCs w:val="12"/>
          <w:color w:val="auto"/>
        </w:rPr>
      </w:pPr>
    </w:p>
    <w:p>
      <w:pPr>
        <w:jc w:val="both"/>
        <w:ind w:left="365" w:hanging="365"/>
        <w:spacing w:after="0" w:line="241" w:lineRule="auto"/>
        <w:tabs>
          <w:tab w:leader="none" w:pos="365" w:val="left"/>
        </w:tabs>
        <w:numPr>
          <w:ilvl w:val="0"/>
          <w:numId w:val="5"/>
        </w:numPr>
        <w:rPr>
          <w:rFonts w:ascii="Arial" w:cs="Arial" w:eastAsia="Arial" w:hAnsi="Arial"/>
          <w:sz w:val="13"/>
          <w:szCs w:val="13"/>
          <w:color w:val="auto"/>
        </w:rPr>
      </w:pPr>
      <w:r>
        <w:rPr>
          <w:rFonts w:ascii="Arial" w:cs="Arial" w:eastAsia="Arial" w:hAnsi="Arial"/>
          <w:sz w:val="13"/>
          <w:szCs w:val="13"/>
          <w:color w:val="auto"/>
        </w:rPr>
        <w:t>In the third quarter of fiscal 2026, UNIFI recorded a foreign currency gain of $1,775. In December 2025, Brazil declared dividends against the majority of its retained earnings in connection with certain tax law changes related to future dividends. Foreign currency transaction gains (losses) are recorded to reflect changes in the exchange rate of the Brazilian Real to the U.S. Dollar while the dividend payable is outstanding.</w:t>
      </w:r>
    </w:p>
    <w:p>
      <w:pPr>
        <w:spacing w:after="0" w:line="70" w:lineRule="exact"/>
        <w:rPr>
          <w:rFonts w:ascii="Arial" w:cs="Arial" w:eastAsia="Arial" w:hAnsi="Arial"/>
          <w:sz w:val="13"/>
          <w:szCs w:val="13"/>
          <w:color w:val="auto"/>
        </w:rPr>
      </w:pPr>
    </w:p>
    <w:p>
      <w:pPr>
        <w:ind w:left="365" w:hanging="365"/>
        <w:spacing w:after="0"/>
        <w:tabs>
          <w:tab w:leader="none" w:pos="365" w:val="left"/>
        </w:tabs>
        <w:numPr>
          <w:ilvl w:val="0"/>
          <w:numId w:val="5"/>
        </w:numPr>
        <w:rPr>
          <w:rFonts w:ascii="Arial" w:cs="Arial" w:eastAsia="Arial" w:hAnsi="Arial"/>
          <w:sz w:val="13"/>
          <w:szCs w:val="13"/>
          <w:color w:val="auto"/>
        </w:rPr>
      </w:pPr>
      <w:r>
        <w:rPr>
          <w:rFonts w:ascii="Arial" w:cs="Arial" w:eastAsia="Arial" w:hAnsi="Arial"/>
          <w:sz w:val="13"/>
          <w:szCs w:val="13"/>
          <w:color w:val="auto"/>
        </w:rPr>
        <w:t>In the second quarter of fiscal 2025, UNIFI recorded a gain of $4,296 related to the sale of a warehouse located in Yadkinville, North Carolina.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723265</wp:posOffset>
            </wp:positionV>
            <wp:extent cx="7174865" cy="406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440" w:right="319" w:bottom="1440" w:gutter="0" w:footer="0" w:header="0"/>
        </w:sectPr>
      </w:pPr>
    </w:p>
    <w:bookmarkStart w:id="10" w:name="page11"/>
    <w:bookmarkEnd w:id="10"/>
    <w:p>
      <w:pPr>
        <w:spacing w:after="0" w:line="3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449580</wp:posOffset>
            </wp:positionV>
            <wp:extent cx="1081405" cy="4057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1081405" cy="405765"/>
                    </a:xfrm>
                    <a:prstGeom prst="rect">
                      <a:avLst/>
                    </a:prstGeom>
                    <a:noFill/>
                  </pic:spPr>
                </pic:pic>
              </a:graphicData>
            </a:graphic>
          </wp:anchor>
        </w:drawing>
      </w:r>
    </w:p>
    <w:p>
      <w:pPr>
        <w:ind w:left="5"/>
        <w:spacing w:after="0"/>
        <w:rPr>
          <w:sz w:val="20"/>
          <w:szCs w:val="20"/>
          <w:color w:val="auto"/>
        </w:rPr>
      </w:pPr>
      <w:r>
        <w:rPr>
          <w:rFonts w:ascii="Arial" w:cs="Arial" w:eastAsia="Arial" w:hAnsi="Arial"/>
          <w:sz w:val="13"/>
          <w:szCs w:val="13"/>
          <w:i w:val="1"/>
          <w:iCs w:val="1"/>
          <w:u w:val="single" w:color="auto"/>
          <w:color w:val="auto"/>
        </w:rPr>
        <w:t>Adjusted Net Loss and Adjusted EPS (Non-GAAP Financial Measures)</w:t>
      </w:r>
    </w:p>
    <w:p>
      <w:pPr>
        <w:spacing w:after="0" w:line="85" w:lineRule="exact"/>
        <w:rPr>
          <w:sz w:val="20"/>
          <w:szCs w:val="20"/>
          <w:color w:val="auto"/>
        </w:rPr>
      </w:pPr>
    </w:p>
    <w:p>
      <w:pPr>
        <w:ind w:left="5" w:right="20"/>
        <w:spacing w:after="0" w:line="254" w:lineRule="auto"/>
        <w:rPr>
          <w:sz w:val="20"/>
          <w:szCs w:val="20"/>
          <w:color w:val="auto"/>
        </w:rPr>
      </w:pPr>
      <w:r>
        <w:rPr>
          <w:rFonts w:ascii="Arial" w:cs="Arial" w:eastAsia="Arial" w:hAnsi="Arial"/>
          <w:sz w:val="13"/>
          <w:szCs w:val="13"/>
          <w:color w:val="auto"/>
        </w:rPr>
        <w:t>The tables below set forth reconciliations of (i) Loss before income taxes (“Pre-tax Loss”), (ii) Provision for income taxes (“Tax Impact”), (iii) Net loss (“Net Loss”) to Adjusted Net Loss, and (iv) Diluted Earnings Per Share (“Diluted EPS”) to Adjusted EPS. Rounding may impact certain of the below calculations.</w:t>
      </w:r>
    </w:p>
    <w:p>
      <w:pPr>
        <w:spacing w:after="0" w:line="109" w:lineRule="exact"/>
        <w:rPr>
          <w:sz w:val="20"/>
          <w:szCs w:val="20"/>
          <w:color w:val="auto"/>
        </w:rPr>
      </w:pPr>
    </w:p>
    <w:tbl>
      <w:tblPr>
        <w:tblLayout w:type="fixed"/>
        <w:tblInd w:w="5"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720" w:type="dxa"/>
            <w:vAlign w:val="bottom"/>
            <w:gridSpan w:val="13"/>
          </w:tcPr>
          <w:p>
            <w:pPr>
              <w:jc w:val="right"/>
              <w:ind w:right="700"/>
              <w:spacing w:after="0"/>
              <w:rPr>
                <w:sz w:val="20"/>
                <w:szCs w:val="20"/>
                <w:color w:val="auto"/>
              </w:rPr>
            </w:pPr>
            <w:r>
              <w:rPr>
                <w:rFonts w:ascii="Arial" w:cs="Arial" w:eastAsia="Arial" w:hAnsi="Arial"/>
                <w:sz w:val="13"/>
                <w:szCs w:val="13"/>
                <w:b w:val="1"/>
                <w:bCs w:val="1"/>
                <w:color w:val="auto"/>
              </w:rPr>
              <w:t>For the Three Months Ended March 29, 2026</w:t>
            </w:r>
          </w:p>
        </w:tc>
        <w:tc>
          <w:tcPr>
            <w:tcW w:w="100" w:type="dxa"/>
            <w:vAlign w:val="bottom"/>
          </w:tcPr>
          <w:p>
            <w:pPr>
              <w:spacing w:after="0"/>
              <w:rPr>
                <w:sz w:val="13"/>
                <w:szCs w:val="13"/>
                <w:color w:val="auto"/>
              </w:rPr>
            </w:pPr>
          </w:p>
        </w:tc>
        <w:tc>
          <w:tcPr>
            <w:tcW w:w="3500" w:type="dxa"/>
            <w:vAlign w:val="bottom"/>
            <w:gridSpan w:val="12"/>
          </w:tcPr>
          <w:p>
            <w:pPr>
              <w:jc w:val="right"/>
              <w:ind w:right="540"/>
              <w:spacing w:after="0"/>
              <w:rPr>
                <w:sz w:val="20"/>
                <w:szCs w:val="20"/>
                <w:color w:val="auto"/>
              </w:rPr>
            </w:pPr>
            <w:r>
              <w:rPr>
                <w:rFonts w:ascii="Arial" w:cs="Arial" w:eastAsia="Arial" w:hAnsi="Arial"/>
                <w:sz w:val="13"/>
                <w:szCs w:val="13"/>
                <w:b w:val="1"/>
                <w:bCs w:val="1"/>
                <w:color w:val="auto"/>
              </w:rPr>
              <w:t>For the Three Months Ended March 30, 2025</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tcPr>
          <w:p>
            <w:pPr>
              <w:jc w:val="center"/>
              <w:ind w:right="358"/>
              <w:spacing w:after="0" w:line="126" w:lineRule="exact"/>
              <w:rPr>
                <w:sz w:val="20"/>
                <w:szCs w:val="20"/>
                <w:color w:val="auto"/>
              </w:rPr>
            </w:pPr>
            <w:r>
              <w:rPr>
                <w:rFonts w:ascii="Arial" w:cs="Arial" w:eastAsia="Arial" w:hAnsi="Arial"/>
                <w:sz w:val="13"/>
                <w:szCs w:val="13"/>
                <w:b w:val="1"/>
                <w:bCs w:val="1"/>
                <w:color w:val="auto"/>
                <w:w w:val="95"/>
              </w:rPr>
              <w:t>Pre-tax</w:t>
            </w:r>
          </w:p>
        </w:tc>
        <w:tc>
          <w:tcPr>
            <w:tcW w:w="2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center"/>
              <w:ind w:right="77"/>
              <w:spacing w:after="0" w:line="126" w:lineRule="exact"/>
              <w:rPr>
                <w:sz w:val="20"/>
                <w:szCs w:val="20"/>
                <w:color w:val="auto"/>
              </w:rPr>
            </w:pPr>
            <w:r>
              <w:rPr>
                <w:rFonts w:ascii="Arial" w:cs="Arial" w:eastAsia="Arial" w:hAnsi="Arial"/>
                <w:sz w:val="13"/>
                <w:szCs w:val="13"/>
                <w:b w:val="1"/>
                <w:bCs w:val="1"/>
                <w:color w:val="auto"/>
                <w:w w:val="95"/>
              </w:rPr>
              <w:t>Diluted</w:t>
            </w: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2"/>
          </w:tcPr>
          <w:p>
            <w:pPr>
              <w:jc w:val="center"/>
              <w:ind w:right="218"/>
              <w:spacing w:after="0" w:line="126" w:lineRule="exact"/>
              <w:rPr>
                <w:sz w:val="20"/>
                <w:szCs w:val="20"/>
                <w:color w:val="auto"/>
              </w:rPr>
            </w:pPr>
            <w:r>
              <w:rPr>
                <w:rFonts w:ascii="Arial" w:cs="Arial" w:eastAsia="Arial" w:hAnsi="Arial"/>
                <w:sz w:val="13"/>
                <w:szCs w:val="13"/>
                <w:b w:val="1"/>
                <w:bCs w:val="1"/>
                <w:color w:val="auto"/>
                <w:w w:val="95"/>
              </w:rPr>
              <w:t>Pre-tax</w:t>
            </w:r>
          </w:p>
        </w:tc>
        <w:tc>
          <w:tcPr>
            <w:tcW w:w="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center"/>
              <w:ind w:right="77"/>
              <w:spacing w:after="0" w:line="126" w:lineRule="exact"/>
              <w:rPr>
                <w:sz w:val="20"/>
                <w:szCs w:val="20"/>
                <w:color w:val="auto"/>
              </w:rPr>
            </w:pPr>
            <w:r>
              <w:rPr>
                <w:rFonts w:ascii="Arial" w:cs="Arial" w:eastAsia="Arial" w:hAnsi="Arial"/>
                <w:sz w:val="13"/>
                <w:szCs w:val="13"/>
                <w:b w:val="1"/>
                <w:bCs w:val="1"/>
                <w:color w:val="auto"/>
                <w:w w:val="99"/>
              </w:rPr>
              <w:t>Diluted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8"/>
              </w:rPr>
              <w:t>Loss</w:t>
            </w:r>
          </w:p>
        </w:tc>
        <w:tc>
          <w:tcPr>
            <w:tcW w:w="240" w:type="dxa"/>
            <w:vAlign w:val="bottom"/>
          </w:tcPr>
          <w:p>
            <w:pPr>
              <w:spacing w:after="0"/>
              <w:rPr>
                <w:sz w:val="13"/>
                <w:szCs w:val="13"/>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7"/>
              </w:rPr>
              <w:t>Tax Impact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94"/>
              </w:rPr>
              <w:t>Net Loss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99"/>
              </w:rPr>
              <w:t>EPS</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98"/>
              </w:rPr>
              <w:t>Loss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97"/>
              </w:rPr>
              <w:t>Tax Impact</w:t>
            </w:r>
          </w:p>
        </w:tc>
        <w:tc>
          <w:tcPr>
            <w:tcW w:w="2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94"/>
              </w:rPr>
              <w:t>Net Loss</w:t>
            </w: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92"/>
              </w:rPr>
              <w:t>EPS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2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GAAP results</w:t>
            </w:r>
          </w:p>
        </w:tc>
        <w:tc>
          <w:tcPr>
            <w:tcW w:w="700" w:type="dxa"/>
            <w:vAlign w:val="bottom"/>
            <w:gridSpan w:val="2"/>
            <w:shd w:val="clear" w:color="auto" w:fill="CFF0FC"/>
          </w:tcPr>
          <w:p>
            <w:pPr>
              <w:jc w:val="right"/>
              <w:spacing w:after="0" w:line="134"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FF0FC"/>
          </w:tcPr>
          <w:p>
            <w:pPr>
              <w:jc w:val="right"/>
              <w:ind w:right="158"/>
              <w:spacing w:after="0" w:line="134" w:lineRule="exact"/>
              <w:rPr>
                <w:sz w:val="20"/>
                <w:szCs w:val="20"/>
                <w:color w:val="auto"/>
              </w:rPr>
            </w:pPr>
            <w:r>
              <w:rPr>
                <w:rFonts w:ascii="Arial" w:cs="Arial" w:eastAsia="Arial" w:hAnsi="Arial"/>
                <w:sz w:val="13"/>
                <w:szCs w:val="13"/>
                <w:color w:val="auto"/>
              </w:rPr>
              <w:t>(1,470)</w:t>
            </w:r>
          </w:p>
        </w:tc>
        <w:tc>
          <w:tcPr>
            <w:tcW w:w="200" w:type="dxa"/>
            <w:vAlign w:val="bottom"/>
            <w:shd w:val="clear" w:color="auto" w:fill="CFF0FC"/>
          </w:tcPr>
          <w:p>
            <w:pPr>
              <w:jc w:val="right"/>
              <w:ind w:right="87"/>
              <w:spacing w:after="0"/>
              <w:rPr>
                <w:sz w:val="20"/>
                <w:szCs w:val="20"/>
                <w:color w:val="auto"/>
              </w:rPr>
            </w:pPr>
            <w:r>
              <w:rPr>
                <w:rFonts w:ascii="Arial" w:cs="Arial" w:eastAsia="Arial" w:hAnsi="Arial"/>
                <w:sz w:val="9"/>
                <w:szCs w:val="9"/>
                <w:color w:val="auto"/>
                <w:w w:val="78"/>
              </w:rPr>
              <w:t>$</w:t>
            </w:r>
          </w:p>
        </w:tc>
        <w:tc>
          <w:tcPr>
            <w:tcW w:w="660" w:type="dxa"/>
            <w:vAlign w:val="bottom"/>
            <w:gridSpan w:val="2"/>
            <w:shd w:val="clear" w:color="auto" w:fill="CFF0FC"/>
          </w:tcPr>
          <w:p>
            <w:pPr>
              <w:jc w:val="right"/>
              <w:ind w:right="100"/>
              <w:spacing w:after="0" w:line="134" w:lineRule="exact"/>
              <w:rPr>
                <w:sz w:val="20"/>
                <w:szCs w:val="20"/>
                <w:color w:val="auto"/>
              </w:rPr>
            </w:pPr>
            <w:r>
              <w:rPr>
                <w:rFonts w:ascii="Arial" w:cs="Arial" w:eastAsia="Arial" w:hAnsi="Arial"/>
                <w:sz w:val="13"/>
                <w:szCs w:val="13"/>
                <w:color w:val="auto"/>
              </w:rPr>
              <w:t>(836)</w:t>
            </w:r>
          </w:p>
        </w:tc>
        <w:tc>
          <w:tcPr>
            <w:tcW w:w="180" w:type="dxa"/>
            <w:vAlign w:val="bottom"/>
            <w:gridSpan w:val="2"/>
            <w:shd w:val="clear" w:color="auto" w:fill="CFF0FC"/>
          </w:tcPr>
          <w:p>
            <w:pPr>
              <w:jc w:val="right"/>
              <w:spacing w:after="0" w:line="134"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FF0FC"/>
          </w:tcPr>
          <w:p>
            <w:pPr>
              <w:jc w:val="right"/>
              <w:ind w:right="58"/>
              <w:spacing w:after="0" w:line="134" w:lineRule="exact"/>
              <w:rPr>
                <w:sz w:val="20"/>
                <w:szCs w:val="20"/>
                <w:color w:val="auto"/>
              </w:rPr>
            </w:pPr>
            <w:r>
              <w:rPr>
                <w:rFonts w:ascii="Arial" w:cs="Arial" w:eastAsia="Arial" w:hAnsi="Arial"/>
                <w:sz w:val="13"/>
                <w:szCs w:val="13"/>
                <w:color w:val="auto"/>
              </w:rPr>
              <w:t>(2,306)</w:t>
            </w:r>
          </w:p>
        </w:tc>
        <w:tc>
          <w:tcPr>
            <w:tcW w:w="180" w:type="dxa"/>
            <w:vAlign w:val="bottom"/>
            <w:gridSpan w:val="2"/>
            <w:shd w:val="clear" w:color="auto" w:fill="CFF0FC"/>
          </w:tcPr>
          <w:p>
            <w:pPr>
              <w:jc w:val="right"/>
              <w:spacing w:after="0" w:line="134"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FF0FC"/>
          </w:tcPr>
          <w:p>
            <w:pPr>
              <w:jc w:val="right"/>
              <w:ind w:right="180"/>
              <w:spacing w:after="0" w:line="134" w:lineRule="exact"/>
              <w:rPr>
                <w:sz w:val="20"/>
                <w:szCs w:val="20"/>
                <w:color w:val="auto"/>
              </w:rPr>
            </w:pPr>
            <w:r>
              <w:rPr>
                <w:rFonts w:ascii="Arial" w:cs="Arial" w:eastAsia="Arial" w:hAnsi="Arial"/>
                <w:sz w:val="13"/>
                <w:szCs w:val="13"/>
                <w:color w:val="auto"/>
              </w:rPr>
              <w:t>(0.12)</w:t>
            </w:r>
          </w:p>
        </w:tc>
        <w:tc>
          <w:tcPr>
            <w:tcW w:w="1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FF0FC"/>
          </w:tcPr>
          <w:p>
            <w:pPr>
              <w:jc w:val="right"/>
              <w:ind w:right="38"/>
              <w:spacing w:after="0" w:line="134" w:lineRule="exact"/>
              <w:rPr>
                <w:sz w:val="20"/>
                <w:szCs w:val="20"/>
                <w:color w:val="auto"/>
              </w:rPr>
            </w:pPr>
            <w:r>
              <w:rPr>
                <w:rFonts w:ascii="Arial" w:cs="Arial" w:eastAsia="Arial" w:hAnsi="Arial"/>
                <w:sz w:val="13"/>
                <w:szCs w:val="13"/>
                <w:color w:val="auto"/>
              </w:rPr>
              <w:t>(16,295)</w:t>
            </w:r>
          </w:p>
        </w:tc>
        <w:tc>
          <w:tcPr>
            <w:tcW w:w="280" w:type="dxa"/>
            <w:vAlign w:val="bottom"/>
            <w:gridSpan w:val="2"/>
            <w:shd w:val="clear" w:color="auto" w:fill="CFF0FC"/>
          </w:tcPr>
          <w:p>
            <w:pPr>
              <w:ind w:left="80"/>
              <w:spacing w:after="0" w:line="134"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FF0FC"/>
          </w:tcPr>
          <w:p>
            <w:pPr>
              <w:jc w:val="right"/>
              <w:ind w:right="180"/>
              <w:spacing w:after="0" w:line="134" w:lineRule="exact"/>
              <w:rPr>
                <w:sz w:val="20"/>
                <w:szCs w:val="20"/>
                <w:color w:val="auto"/>
              </w:rPr>
            </w:pPr>
            <w:r>
              <w:rPr>
                <w:rFonts w:ascii="Arial" w:cs="Arial" w:eastAsia="Arial" w:hAnsi="Arial"/>
                <w:sz w:val="13"/>
                <w:szCs w:val="13"/>
                <w:color w:val="auto"/>
              </w:rPr>
              <w:t>(499)</w:t>
            </w:r>
          </w:p>
        </w:tc>
        <w:tc>
          <w:tcPr>
            <w:tcW w:w="60" w:type="dxa"/>
            <w:vAlign w:val="bottom"/>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840" w:type="dxa"/>
            <w:vAlign w:val="bottom"/>
            <w:gridSpan w:val="2"/>
            <w:shd w:val="clear" w:color="auto" w:fill="CFF0FC"/>
          </w:tcPr>
          <w:p>
            <w:pPr>
              <w:jc w:val="right"/>
              <w:ind w:right="118"/>
              <w:spacing w:after="0" w:line="134" w:lineRule="exact"/>
              <w:rPr>
                <w:sz w:val="20"/>
                <w:szCs w:val="20"/>
                <w:color w:val="auto"/>
              </w:rPr>
            </w:pPr>
            <w:r>
              <w:rPr>
                <w:rFonts w:ascii="Arial" w:cs="Arial" w:eastAsia="Arial" w:hAnsi="Arial"/>
                <w:sz w:val="13"/>
                <w:szCs w:val="13"/>
                <w:color w:val="auto"/>
              </w:rPr>
              <w:t>(16,794)</w:t>
            </w:r>
          </w:p>
        </w:tc>
        <w:tc>
          <w:tcPr>
            <w:tcW w:w="1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FF0FC"/>
          </w:tcPr>
          <w:p>
            <w:pPr>
              <w:jc w:val="right"/>
              <w:ind w:right="80"/>
              <w:spacing w:after="0" w:line="134" w:lineRule="exact"/>
              <w:rPr>
                <w:sz w:val="20"/>
                <w:szCs w:val="20"/>
                <w:color w:val="auto"/>
              </w:rPr>
            </w:pPr>
            <w:r>
              <w:rPr>
                <w:rFonts w:ascii="Arial" w:cs="Arial" w:eastAsia="Arial" w:hAnsi="Arial"/>
                <w:sz w:val="13"/>
                <w:szCs w:val="13"/>
                <w:color w:val="auto"/>
              </w:rPr>
              <w:t>(0.92)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20" w:type="dxa"/>
            <w:vAlign w:val="bottom"/>
          </w:tcPr>
          <w:p>
            <w:pPr>
              <w:spacing w:after="0" w:line="142" w:lineRule="exact"/>
              <w:rPr>
                <w:sz w:val="20"/>
                <w:szCs w:val="20"/>
                <w:color w:val="auto"/>
              </w:rPr>
            </w:pPr>
            <w:r>
              <w:rPr>
                <w:rFonts w:ascii="Arial" w:cs="Arial" w:eastAsia="Arial" w:hAnsi="Arial"/>
                <w:sz w:val="13"/>
                <w:szCs w:val="13"/>
                <w:color w:val="auto"/>
              </w:rPr>
              <w:t xml:space="preserve">Transition costs </w:t>
            </w:r>
            <w:r>
              <w:rPr>
                <w:rFonts w:ascii="Arial" w:cs="Arial" w:eastAsia="Arial" w:hAnsi="Arial"/>
                <w:sz w:val="16"/>
                <w:szCs w:val="16"/>
                <w:color w:val="auto"/>
                <w:vertAlign w:val="superscript"/>
              </w:rPr>
              <w:t>(1)</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218"/>
              <w:spacing w:after="0" w:line="142"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660" w:type="dxa"/>
            <w:vAlign w:val="bottom"/>
            <w:gridSpan w:val="2"/>
          </w:tcPr>
          <w:p>
            <w:pPr>
              <w:jc w:val="right"/>
              <w:ind w:right="160"/>
              <w:spacing w:after="0" w:line="142"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18"/>
              <w:spacing w:after="0" w:line="142"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40"/>
              <w:spacing w:after="0" w:line="142"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3"/>
                <w:szCs w:val="13"/>
                <w:color w:val="auto"/>
              </w:rPr>
              <w:t>2,900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220"/>
              <w:spacing w:after="0" w:line="142"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3"/>
                <w:szCs w:val="13"/>
                <w:color w:val="auto"/>
              </w:rPr>
              <w:t>2,900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3"/>
                <w:szCs w:val="13"/>
                <w:color w:val="auto"/>
              </w:rPr>
              <w:t>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2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 xml:space="preserve">Gain on foreign currency transaction, net </w:t>
            </w:r>
            <w:r>
              <w:rPr>
                <w:rFonts w:ascii="Arial" w:cs="Arial" w:eastAsia="Arial" w:hAnsi="Arial"/>
                <w:sz w:val="16"/>
                <w:szCs w:val="16"/>
                <w:color w:val="auto"/>
                <w:vertAlign w:val="superscript"/>
              </w:rPr>
              <w:t>(2)</w:t>
            </w: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58"/>
              <w:spacing w:after="0" w:line="142" w:lineRule="exact"/>
              <w:rPr>
                <w:sz w:val="20"/>
                <w:szCs w:val="20"/>
                <w:color w:val="auto"/>
              </w:rPr>
            </w:pPr>
            <w:r>
              <w:rPr>
                <w:rFonts w:ascii="Arial" w:cs="Arial" w:eastAsia="Arial" w:hAnsi="Arial"/>
                <w:sz w:val="13"/>
                <w:szCs w:val="13"/>
                <w:color w:val="auto"/>
              </w:rPr>
              <w:t>(1,775)</w:t>
            </w:r>
          </w:p>
        </w:tc>
        <w:tc>
          <w:tcPr>
            <w:tcW w:w="2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272</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58"/>
              <w:spacing w:after="0" w:line="142" w:lineRule="exact"/>
              <w:rPr>
                <w:sz w:val="20"/>
                <w:szCs w:val="20"/>
                <w:color w:val="auto"/>
              </w:rPr>
            </w:pPr>
            <w:r>
              <w:rPr>
                <w:rFonts w:ascii="Arial" w:cs="Arial" w:eastAsia="Arial" w:hAnsi="Arial"/>
                <w:sz w:val="13"/>
                <w:szCs w:val="13"/>
                <w:color w:val="auto"/>
              </w:rPr>
              <w:t>(1,503)</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80"/>
              <w:spacing w:after="0" w:line="142" w:lineRule="exact"/>
              <w:rPr>
                <w:sz w:val="20"/>
                <w:szCs w:val="20"/>
                <w:color w:val="auto"/>
              </w:rPr>
            </w:pPr>
            <w:r>
              <w:rPr>
                <w:rFonts w:ascii="Arial" w:cs="Arial" w:eastAsia="Arial" w:hAnsi="Arial"/>
                <w:sz w:val="13"/>
                <w:szCs w:val="13"/>
                <w:color w:val="auto"/>
              </w:rPr>
              <w:t>(0.08)</w:t>
            </w:r>
          </w:p>
        </w:tc>
        <w:tc>
          <w:tcPr>
            <w:tcW w:w="10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98"/>
              <w:spacing w:after="0" w:line="142"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220"/>
              <w:spacing w:after="0" w:line="142" w:lineRule="exact"/>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78"/>
              <w:spacing w:after="0" w:line="142"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20"/>
              <w:spacing w:after="0" w:line="142"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3240" w:type="dxa"/>
            <w:vAlign w:val="bottom"/>
            <w:gridSpan w:val="2"/>
          </w:tcPr>
          <w:p>
            <w:pPr>
              <w:spacing w:after="0" w:line="134" w:lineRule="exact"/>
              <w:rPr>
                <w:sz w:val="20"/>
                <w:szCs w:val="20"/>
                <w:color w:val="auto"/>
              </w:rPr>
            </w:pPr>
            <w:r>
              <w:rPr>
                <w:rFonts w:ascii="Arial" w:cs="Arial" w:eastAsia="Arial" w:hAnsi="Arial"/>
                <w:sz w:val="13"/>
                <w:szCs w:val="13"/>
                <w:color w:val="auto"/>
              </w:rPr>
              <w:t>Adjusted results</w:t>
            </w:r>
          </w:p>
        </w:tc>
        <w:tc>
          <w:tcPr>
            <w:tcW w:w="60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(3,245)</w:t>
            </w:r>
          </w:p>
        </w:tc>
        <w:tc>
          <w:tcPr>
            <w:tcW w:w="240" w:type="dxa"/>
            <w:vAlign w:val="bottom"/>
          </w:tcPr>
          <w:p>
            <w:pPr>
              <w:spacing w:after="0"/>
              <w:rPr>
                <w:sz w:val="11"/>
                <w:szCs w:val="11"/>
                <w:color w:val="auto"/>
              </w:rPr>
            </w:pPr>
          </w:p>
        </w:tc>
        <w:tc>
          <w:tcPr>
            <w:tcW w:w="20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9"/>
                <w:szCs w:val="9"/>
                <w:color w:val="auto"/>
                <w:w w:val="78"/>
              </w:rPr>
              <w:t>$</w:t>
            </w:r>
          </w:p>
        </w:tc>
        <w:tc>
          <w:tcPr>
            <w:tcW w:w="52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(564)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(3,809)</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(0.20)</w:t>
            </w:r>
          </w:p>
        </w:tc>
        <w:tc>
          <w:tcPr>
            <w:tcW w:w="22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(13,395</w:t>
            </w:r>
          </w:p>
        </w:tc>
        <w:tc>
          <w:tcPr>
            <w:tcW w:w="120" w:type="dxa"/>
            <w:vAlign w:val="bottom"/>
          </w:tcPr>
          <w:p>
            <w:pPr>
              <w:jc w:val="right"/>
              <w:ind w:right="38"/>
              <w:spacing w:after="0"/>
              <w:rPr>
                <w:sz w:val="20"/>
                <w:szCs w:val="20"/>
                <w:color w:val="auto"/>
              </w:rPr>
            </w:pPr>
            <w:r>
              <w:rPr>
                <w:rFonts w:ascii="Arial" w:cs="Arial" w:eastAsia="Arial" w:hAnsi="Arial"/>
                <w:sz w:val="8"/>
                <w:szCs w:val="8"/>
                <w:color w:val="auto"/>
                <w:w w:val="73"/>
              </w:rPr>
              <w:t>)</w:t>
            </w:r>
          </w:p>
        </w:tc>
        <w:tc>
          <w:tcPr>
            <w:tcW w:w="80" w:type="dxa"/>
            <w:vAlign w:val="bottom"/>
          </w:tcPr>
          <w:p>
            <w:pPr>
              <w:spacing w:after="0"/>
              <w:rPr>
                <w:sz w:val="11"/>
                <w:szCs w:val="11"/>
                <w:color w:val="auto"/>
              </w:rPr>
            </w:pPr>
          </w:p>
        </w:tc>
        <w:tc>
          <w:tcPr>
            <w:tcW w:w="200" w:type="dxa"/>
            <w:vAlign w:val="bottom"/>
            <w:tcBorders>
              <w:top w:val="single" w:sz="8" w:color="auto"/>
              <w:bottom w:val="single" w:sz="8" w:color="auto"/>
            </w:tcBorders>
          </w:tcPr>
          <w:p>
            <w:pPr>
              <w:spacing w:after="0" w:line="122" w:lineRule="exact"/>
              <w:rPr>
                <w:sz w:val="20"/>
                <w:szCs w:val="20"/>
                <w:color w:val="auto"/>
              </w:rPr>
            </w:pPr>
            <w:r>
              <w:rPr>
                <w:rFonts w:ascii="Arial" w:cs="Arial" w:eastAsia="Arial" w:hAnsi="Arial"/>
                <w:sz w:val="13"/>
                <w:szCs w:val="13"/>
                <w:color w:val="auto"/>
              </w:rPr>
              <w:t>$</w:t>
            </w:r>
          </w:p>
        </w:tc>
        <w:tc>
          <w:tcPr>
            <w:tcW w:w="50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(499)</w:t>
            </w:r>
          </w:p>
        </w:tc>
        <w:tc>
          <w:tcPr>
            <w:tcW w:w="22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(13,894</w:t>
            </w:r>
          </w:p>
        </w:tc>
        <w:tc>
          <w:tcPr>
            <w:tcW w:w="200" w:type="dxa"/>
            <w:vAlign w:val="bottom"/>
          </w:tcPr>
          <w:p>
            <w:pPr>
              <w:jc w:val="right"/>
              <w:ind w:right="118"/>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(0.76)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2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vMerge w:val="restart"/>
          </w:tcPr>
          <w:p>
            <w:pPr>
              <w:spacing w:after="0"/>
              <w:rPr>
                <w:sz w:val="10"/>
                <w:szCs w:val="10"/>
                <w:color w:val="auto"/>
              </w:rPr>
            </w:pPr>
          </w:p>
        </w:tc>
        <w:tc>
          <w:tcPr>
            <w:tcW w:w="322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3220" w:type="dxa"/>
            <w:vAlign w:val="bottom"/>
          </w:tcPr>
          <w:p>
            <w:pPr>
              <w:spacing w:after="0"/>
              <w:rPr>
                <w:sz w:val="20"/>
                <w:szCs w:val="20"/>
                <w:color w:val="auto"/>
              </w:rPr>
            </w:pPr>
            <w:r>
              <w:rPr>
                <w:rFonts w:ascii="Arial" w:cs="Arial" w:eastAsia="Arial" w:hAnsi="Arial"/>
                <w:sz w:val="13"/>
                <w:szCs w:val="13"/>
                <w:color w:val="auto"/>
              </w:rPr>
              <w:t>Weighted average common shares outstanding</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18,584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18,352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2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720" w:type="dxa"/>
            <w:vAlign w:val="bottom"/>
            <w:gridSpan w:val="13"/>
          </w:tcPr>
          <w:p>
            <w:pPr>
              <w:jc w:val="right"/>
              <w:ind w:right="740"/>
              <w:spacing w:after="0"/>
              <w:rPr>
                <w:sz w:val="20"/>
                <w:szCs w:val="20"/>
                <w:color w:val="auto"/>
              </w:rPr>
            </w:pPr>
            <w:r>
              <w:rPr>
                <w:rFonts w:ascii="Arial" w:cs="Arial" w:eastAsia="Arial" w:hAnsi="Arial"/>
                <w:sz w:val="13"/>
                <w:szCs w:val="13"/>
                <w:b w:val="1"/>
                <w:bCs w:val="1"/>
                <w:color w:val="auto"/>
              </w:rPr>
              <w:t>For the Nine Months Ended March 29, 2026</w:t>
            </w:r>
          </w:p>
        </w:tc>
        <w:tc>
          <w:tcPr>
            <w:tcW w:w="100" w:type="dxa"/>
            <w:vAlign w:val="bottom"/>
          </w:tcPr>
          <w:p>
            <w:pPr>
              <w:spacing w:after="0"/>
              <w:rPr>
                <w:sz w:val="22"/>
                <w:szCs w:val="22"/>
                <w:color w:val="auto"/>
              </w:rPr>
            </w:pPr>
          </w:p>
        </w:tc>
        <w:tc>
          <w:tcPr>
            <w:tcW w:w="3500" w:type="dxa"/>
            <w:vAlign w:val="bottom"/>
            <w:gridSpan w:val="12"/>
          </w:tcPr>
          <w:p>
            <w:pPr>
              <w:jc w:val="right"/>
              <w:ind w:right="580"/>
              <w:spacing w:after="0"/>
              <w:rPr>
                <w:sz w:val="20"/>
                <w:szCs w:val="20"/>
                <w:color w:val="auto"/>
              </w:rPr>
            </w:pPr>
            <w:r>
              <w:rPr>
                <w:rFonts w:ascii="Arial" w:cs="Arial" w:eastAsia="Arial" w:hAnsi="Arial"/>
                <w:sz w:val="13"/>
                <w:szCs w:val="13"/>
                <w:b w:val="1"/>
                <w:bCs w:val="1"/>
                <w:color w:val="auto"/>
              </w:rPr>
              <w:t>For the Nine Months Ended March 30, 2025</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tcPr>
          <w:p>
            <w:pPr>
              <w:jc w:val="center"/>
              <w:ind w:right="358"/>
              <w:spacing w:after="0" w:line="126" w:lineRule="exact"/>
              <w:rPr>
                <w:sz w:val="20"/>
                <w:szCs w:val="20"/>
                <w:color w:val="auto"/>
              </w:rPr>
            </w:pPr>
            <w:r>
              <w:rPr>
                <w:rFonts w:ascii="Arial" w:cs="Arial" w:eastAsia="Arial" w:hAnsi="Arial"/>
                <w:sz w:val="13"/>
                <w:szCs w:val="13"/>
                <w:b w:val="1"/>
                <w:bCs w:val="1"/>
                <w:color w:val="auto"/>
                <w:w w:val="95"/>
              </w:rPr>
              <w:t>Pre-tax</w:t>
            </w:r>
          </w:p>
        </w:tc>
        <w:tc>
          <w:tcPr>
            <w:tcW w:w="2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center"/>
              <w:ind w:right="77"/>
              <w:spacing w:after="0" w:line="126" w:lineRule="exact"/>
              <w:rPr>
                <w:sz w:val="20"/>
                <w:szCs w:val="20"/>
                <w:color w:val="auto"/>
              </w:rPr>
            </w:pPr>
            <w:r>
              <w:rPr>
                <w:rFonts w:ascii="Arial" w:cs="Arial" w:eastAsia="Arial" w:hAnsi="Arial"/>
                <w:sz w:val="13"/>
                <w:szCs w:val="13"/>
                <w:b w:val="1"/>
                <w:bCs w:val="1"/>
                <w:color w:val="auto"/>
                <w:w w:val="95"/>
              </w:rPr>
              <w:t>Diluted</w:t>
            </w: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2"/>
          </w:tcPr>
          <w:p>
            <w:pPr>
              <w:jc w:val="center"/>
              <w:ind w:right="218"/>
              <w:spacing w:after="0" w:line="126" w:lineRule="exact"/>
              <w:rPr>
                <w:sz w:val="20"/>
                <w:szCs w:val="20"/>
                <w:color w:val="auto"/>
              </w:rPr>
            </w:pPr>
            <w:r>
              <w:rPr>
                <w:rFonts w:ascii="Arial" w:cs="Arial" w:eastAsia="Arial" w:hAnsi="Arial"/>
                <w:sz w:val="13"/>
                <w:szCs w:val="13"/>
                <w:b w:val="1"/>
                <w:bCs w:val="1"/>
                <w:color w:val="auto"/>
                <w:w w:val="95"/>
              </w:rPr>
              <w:t>Pre-tax</w:t>
            </w:r>
          </w:p>
        </w:tc>
        <w:tc>
          <w:tcPr>
            <w:tcW w:w="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center"/>
              <w:ind w:right="77"/>
              <w:spacing w:after="0" w:line="126" w:lineRule="exact"/>
              <w:rPr>
                <w:sz w:val="20"/>
                <w:szCs w:val="20"/>
                <w:color w:val="auto"/>
              </w:rPr>
            </w:pPr>
            <w:r>
              <w:rPr>
                <w:rFonts w:ascii="Arial" w:cs="Arial" w:eastAsia="Arial" w:hAnsi="Arial"/>
                <w:sz w:val="13"/>
                <w:szCs w:val="13"/>
                <w:b w:val="1"/>
                <w:bCs w:val="1"/>
                <w:color w:val="auto"/>
                <w:w w:val="99"/>
              </w:rPr>
              <w:t>Diluted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8"/>
              </w:rPr>
              <w:t>Loss</w:t>
            </w:r>
          </w:p>
        </w:tc>
        <w:tc>
          <w:tcPr>
            <w:tcW w:w="240" w:type="dxa"/>
            <w:vAlign w:val="bottom"/>
          </w:tcPr>
          <w:p>
            <w:pPr>
              <w:spacing w:after="0"/>
              <w:rPr>
                <w:sz w:val="13"/>
                <w:szCs w:val="13"/>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7"/>
              </w:rPr>
              <w:t>Tax Impact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94"/>
              </w:rPr>
              <w:t>Net Loss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99"/>
              </w:rPr>
              <w:t>EPS</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98"/>
              </w:rPr>
              <w:t>Loss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97"/>
              </w:rPr>
              <w:t>Tax Impact</w:t>
            </w:r>
          </w:p>
        </w:tc>
        <w:tc>
          <w:tcPr>
            <w:tcW w:w="2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94"/>
              </w:rPr>
              <w:t>Net Loss</w:t>
            </w: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92"/>
              </w:rPr>
              <w:t>EPS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2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GAAP results</w:t>
            </w:r>
          </w:p>
        </w:tc>
        <w:tc>
          <w:tcPr>
            <w:tcW w:w="700" w:type="dxa"/>
            <w:vAlign w:val="bottom"/>
            <w:gridSpan w:val="2"/>
            <w:shd w:val="clear" w:color="auto" w:fill="CFF0FC"/>
          </w:tcPr>
          <w:p>
            <w:pPr>
              <w:jc w:val="right"/>
              <w:spacing w:after="0" w:line="134"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FF0FC"/>
          </w:tcPr>
          <w:p>
            <w:pPr>
              <w:jc w:val="right"/>
              <w:ind w:right="158"/>
              <w:spacing w:after="0" w:line="134" w:lineRule="exact"/>
              <w:rPr>
                <w:sz w:val="20"/>
                <w:szCs w:val="20"/>
                <w:color w:val="auto"/>
              </w:rPr>
            </w:pPr>
            <w:r>
              <w:rPr>
                <w:rFonts w:ascii="Arial" w:cs="Arial" w:eastAsia="Arial" w:hAnsi="Arial"/>
                <w:sz w:val="13"/>
                <w:szCs w:val="13"/>
                <w:color w:val="auto"/>
              </w:rPr>
              <w:t>(21,385)</w:t>
            </w:r>
          </w:p>
        </w:tc>
        <w:tc>
          <w:tcPr>
            <w:tcW w:w="200" w:type="dxa"/>
            <w:vAlign w:val="bottom"/>
            <w:shd w:val="clear" w:color="auto" w:fill="CFF0FC"/>
          </w:tcPr>
          <w:p>
            <w:pPr>
              <w:jc w:val="right"/>
              <w:ind w:right="87"/>
              <w:spacing w:after="0"/>
              <w:rPr>
                <w:sz w:val="20"/>
                <w:szCs w:val="20"/>
                <w:color w:val="auto"/>
              </w:rPr>
            </w:pPr>
            <w:r>
              <w:rPr>
                <w:rFonts w:ascii="Arial" w:cs="Arial" w:eastAsia="Arial" w:hAnsi="Arial"/>
                <w:sz w:val="9"/>
                <w:szCs w:val="9"/>
                <w:color w:val="auto"/>
                <w:w w:val="78"/>
              </w:rPr>
              <w:t>$</w:t>
            </w:r>
          </w:p>
        </w:tc>
        <w:tc>
          <w:tcPr>
            <w:tcW w:w="660" w:type="dxa"/>
            <w:vAlign w:val="bottom"/>
            <w:gridSpan w:val="2"/>
            <w:shd w:val="clear" w:color="auto" w:fill="CFF0FC"/>
          </w:tcPr>
          <w:p>
            <w:pPr>
              <w:jc w:val="right"/>
              <w:ind w:right="100"/>
              <w:spacing w:after="0" w:line="134" w:lineRule="exact"/>
              <w:rPr>
                <w:sz w:val="20"/>
                <w:szCs w:val="20"/>
                <w:color w:val="auto"/>
              </w:rPr>
            </w:pPr>
            <w:r>
              <w:rPr>
                <w:rFonts w:ascii="Arial" w:cs="Arial" w:eastAsia="Arial" w:hAnsi="Arial"/>
                <w:sz w:val="13"/>
                <w:szCs w:val="13"/>
                <w:color w:val="auto"/>
              </w:rPr>
              <w:t>(1,984)</w:t>
            </w:r>
          </w:p>
        </w:tc>
        <w:tc>
          <w:tcPr>
            <w:tcW w:w="180" w:type="dxa"/>
            <w:vAlign w:val="bottom"/>
            <w:gridSpan w:val="2"/>
            <w:shd w:val="clear" w:color="auto" w:fill="CFF0FC"/>
          </w:tcPr>
          <w:p>
            <w:pPr>
              <w:jc w:val="right"/>
              <w:spacing w:after="0" w:line="134"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FF0FC"/>
          </w:tcPr>
          <w:p>
            <w:pPr>
              <w:jc w:val="right"/>
              <w:ind w:right="58"/>
              <w:spacing w:after="0" w:line="134" w:lineRule="exact"/>
              <w:rPr>
                <w:sz w:val="20"/>
                <w:szCs w:val="20"/>
                <w:color w:val="auto"/>
              </w:rPr>
            </w:pPr>
            <w:r>
              <w:rPr>
                <w:rFonts w:ascii="Arial" w:cs="Arial" w:eastAsia="Arial" w:hAnsi="Arial"/>
                <w:sz w:val="13"/>
                <w:szCs w:val="13"/>
                <w:color w:val="auto"/>
              </w:rPr>
              <w:t>(23,369)</w:t>
            </w:r>
          </w:p>
        </w:tc>
        <w:tc>
          <w:tcPr>
            <w:tcW w:w="180" w:type="dxa"/>
            <w:vAlign w:val="bottom"/>
            <w:gridSpan w:val="2"/>
            <w:shd w:val="clear" w:color="auto" w:fill="CFF0FC"/>
          </w:tcPr>
          <w:p>
            <w:pPr>
              <w:jc w:val="right"/>
              <w:spacing w:after="0" w:line="134"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FF0FC"/>
          </w:tcPr>
          <w:p>
            <w:pPr>
              <w:jc w:val="right"/>
              <w:ind w:right="180"/>
              <w:spacing w:after="0" w:line="134" w:lineRule="exact"/>
              <w:rPr>
                <w:sz w:val="20"/>
                <w:szCs w:val="20"/>
                <w:color w:val="auto"/>
              </w:rPr>
            </w:pPr>
            <w:r>
              <w:rPr>
                <w:rFonts w:ascii="Arial" w:cs="Arial" w:eastAsia="Arial" w:hAnsi="Arial"/>
                <w:sz w:val="13"/>
                <w:szCs w:val="13"/>
                <w:color w:val="auto"/>
              </w:rPr>
              <w:t>(1.27)</w:t>
            </w:r>
          </w:p>
        </w:tc>
        <w:tc>
          <w:tcPr>
            <w:tcW w:w="1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FF0FC"/>
          </w:tcPr>
          <w:p>
            <w:pPr>
              <w:jc w:val="right"/>
              <w:ind w:right="38"/>
              <w:spacing w:after="0" w:line="134" w:lineRule="exact"/>
              <w:rPr>
                <w:sz w:val="20"/>
                <w:szCs w:val="20"/>
                <w:color w:val="auto"/>
              </w:rPr>
            </w:pPr>
            <w:r>
              <w:rPr>
                <w:rFonts w:ascii="Arial" w:cs="Arial" w:eastAsia="Arial" w:hAnsi="Arial"/>
                <w:sz w:val="13"/>
                <w:szCs w:val="13"/>
                <w:color w:val="auto"/>
              </w:rPr>
              <w:t>(31,797)</w:t>
            </w:r>
          </w:p>
        </w:tc>
        <w:tc>
          <w:tcPr>
            <w:tcW w:w="280" w:type="dxa"/>
            <w:vAlign w:val="bottom"/>
            <w:gridSpan w:val="2"/>
            <w:shd w:val="clear" w:color="auto" w:fill="CFF0FC"/>
          </w:tcPr>
          <w:p>
            <w:pPr>
              <w:ind w:left="80"/>
              <w:spacing w:after="0" w:line="134"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FF0FC"/>
          </w:tcPr>
          <w:p>
            <w:pPr>
              <w:jc w:val="right"/>
              <w:ind w:right="180"/>
              <w:spacing w:after="0" w:line="134" w:lineRule="exact"/>
              <w:rPr>
                <w:sz w:val="20"/>
                <w:szCs w:val="20"/>
                <w:color w:val="auto"/>
              </w:rPr>
            </w:pPr>
            <w:r>
              <w:rPr>
                <w:rFonts w:ascii="Arial" w:cs="Arial" w:eastAsia="Arial" w:hAnsi="Arial"/>
                <w:sz w:val="13"/>
                <w:szCs w:val="13"/>
                <w:color w:val="auto"/>
              </w:rPr>
              <w:t>(4,021)</w:t>
            </w:r>
          </w:p>
        </w:tc>
        <w:tc>
          <w:tcPr>
            <w:tcW w:w="60" w:type="dxa"/>
            <w:vAlign w:val="bottom"/>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840" w:type="dxa"/>
            <w:vAlign w:val="bottom"/>
            <w:gridSpan w:val="2"/>
            <w:shd w:val="clear" w:color="auto" w:fill="CFF0FC"/>
          </w:tcPr>
          <w:p>
            <w:pPr>
              <w:jc w:val="right"/>
              <w:ind w:right="118"/>
              <w:spacing w:after="0" w:line="134" w:lineRule="exact"/>
              <w:rPr>
                <w:sz w:val="20"/>
                <w:szCs w:val="20"/>
                <w:color w:val="auto"/>
              </w:rPr>
            </w:pPr>
            <w:r>
              <w:rPr>
                <w:rFonts w:ascii="Arial" w:cs="Arial" w:eastAsia="Arial" w:hAnsi="Arial"/>
                <w:sz w:val="13"/>
                <w:szCs w:val="13"/>
                <w:color w:val="auto"/>
              </w:rPr>
              <w:t>(35,818)</w:t>
            </w:r>
          </w:p>
        </w:tc>
        <w:tc>
          <w:tcPr>
            <w:tcW w:w="1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FF0FC"/>
          </w:tcPr>
          <w:p>
            <w:pPr>
              <w:jc w:val="right"/>
              <w:ind w:right="80"/>
              <w:spacing w:after="0" w:line="134" w:lineRule="exact"/>
              <w:rPr>
                <w:sz w:val="20"/>
                <w:szCs w:val="20"/>
                <w:color w:val="auto"/>
              </w:rPr>
            </w:pPr>
            <w:r>
              <w:rPr>
                <w:rFonts w:ascii="Arial" w:cs="Arial" w:eastAsia="Arial" w:hAnsi="Arial"/>
                <w:sz w:val="13"/>
                <w:szCs w:val="13"/>
                <w:color w:val="auto"/>
              </w:rPr>
              <w:t>(1.96)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20" w:type="dxa"/>
            <w:vAlign w:val="bottom"/>
          </w:tcPr>
          <w:p>
            <w:pPr>
              <w:spacing w:after="0" w:line="142" w:lineRule="exact"/>
              <w:rPr>
                <w:sz w:val="20"/>
                <w:szCs w:val="20"/>
                <w:color w:val="auto"/>
              </w:rPr>
            </w:pPr>
            <w:r>
              <w:rPr>
                <w:rFonts w:ascii="Arial" w:cs="Arial" w:eastAsia="Arial" w:hAnsi="Arial"/>
                <w:sz w:val="13"/>
                <w:szCs w:val="13"/>
                <w:color w:val="auto"/>
              </w:rPr>
              <w:t xml:space="preserve">Transition costs </w:t>
            </w:r>
            <w:r>
              <w:rPr>
                <w:rFonts w:ascii="Arial" w:cs="Arial" w:eastAsia="Arial" w:hAnsi="Arial"/>
                <w:sz w:val="16"/>
                <w:szCs w:val="16"/>
                <w:color w:val="auto"/>
                <w:vertAlign w:val="superscript"/>
              </w:rPr>
              <w:t>(1)</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3"/>
                <w:szCs w:val="13"/>
                <w:color w:val="auto"/>
              </w:rPr>
              <w:t>1,068</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2"/>
          </w:tcPr>
          <w:p>
            <w:pPr>
              <w:jc w:val="right"/>
              <w:ind w:right="160"/>
              <w:spacing w:after="0" w:line="142"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3"/>
                <w:szCs w:val="13"/>
                <w:color w:val="auto"/>
              </w:rPr>
              <w:t>1,068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3"/>
                <w:szCs w:val="13"/>
                <w:color w:val="auto"/>
              </w:rPr>
              <w:t>0.06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3"/>
                <w:szCs w:val="13"/>
                <w:color w:val="auto"/>
              </w:rPr>
              <w:t>2,900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220"/>
              <w:spacing w:after="0" w:line="142"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3"/>
                <w:szCs w:val="13"/>
                <w:color w:val="auto"/>
              </w:rPr>
              <w:t>2,900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3"/>
                <w:szCs w:val="13"/>
                <w:color w:val="auto"/>
              </w:rPr>
              <w:t>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2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 xml:space="preserve">Gain on foreign currency transaction, net </w:t>
            </w:r>
            <w:r>
              <w:rPr>
                <w:rFonts w:ascii="Arial" w:cs="Arial" w:eastAsia="Arial" w:hAnsi="Arial"/>
                <w:sz w:val="16"/>
                <w:szCs w:val="16"/>
                <w:color w:val="auto"/>
                <w:vertAlign w:val="superscript"/>
              </w:rPr>
              <w:t>(2)</w:t>
            </w: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58"/>
              <w:spacing w:after="0" w:line="142" w:lineRule="exact"/>
              <w:rPr>
                <w:sz w:val="20"/>
                <w:szCs w:val="20"/>
                <w:color w:val="auto"/>
              </w:rPr>
            </w:pPr>
            <w:r>
              <w:rPr>
                <w:rFonts w:ascii="Arial" w:cs="Arial" w:eastAsia="Arial" w:hAnsi="Arial"/>
                <w:sz w:val="13"/>
                <w:szCs w:val="13"/>
                <w:color w:val="auto"/>
              </w:rPr>
              <w:t>(1,775)</w:t>
            </w:r>
          </w:p>
        </w:tc>
        <w:tc>
          <w:tcPr>
            <w:tcW w:w="2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272</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58"/>
              <w:spacing w:after="0" w:line="142" w:lineRule="exact"/>
              <w:rPr>
                <w:sz w:val="20"/>
                <w:szCs w:val="20"/>
                <w:color w:val="auto"/>
              </w:rPr>
            </w:pPr>
            <w:r>
              <w:rPr>
                <w:rFonts w:ascii="Arial" w:cs="Arial" w:eastAsia="Arial" w:hAnsi="Arial"/>
                <w:sz w:val="13"/>
                <w:szCs w:val="13"/>
                <w:color w:val="auto"/>
              </w:rPr>
              <w:t>(1,503)</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80"/>
              <w:spacing w:after="0" w:line="142" w:lineRule="exact"/>
              <w:rPr>
                <w:sz w:val="20"/>
                <w:szCs w:val="20"/>
                <w:color w:val="auto"/>
              </w:rPr>
            </w:pPr>
            <w:r>
              <w:rPr>
                <w:rFonts w:ascii="Arial" w:cs="Arial" w:eastAsia="Arial" w:hAnsi="Arial"/>
                <w:sz w:val="13"/>
                <w:szCs w:val="13"/>
                <w:color w:val="auto"/>
              </w:rPr>
              <w:t>(0.08)</w:t>
            </w:r>
          </w:p>
        </w:tc>
        <w:tc>
          <w:tcPr>
            <w:tcW w:w="10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98"/>
              <w:spacing w:after="0" w:line="142"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220"/>
              <w:spacing w:after="0" w:line="142" w:lineRule="exact"/>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78"/>
              <w:spacing w:after="0" w:line="142"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20"/>
              <w:spacing w:after="0" w:line="142"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20" w:type="dxa"/>
            <w:vAlign w:val="bottom"/>
          </w:tcPr>
          <w:p>
            <w:pPr>
              <w:spacing w:after="0" w:line="142" w:lineRule="exact"/>
              <w:rPr>
                <w:sz w:val="20"/>
                <w:szCs w:val="20"/>
                <w:color w:val="auto"/>
              </w:rPr>
            </w:pPr>
            <w:r>
              <w:rPr>
                <w:rFonts w:ascii="Arial" w:cs="Arial" w:eastAsia="Arial" w:hAnsi="Arial"/>
                <w:sz w:val="13"/>
                <w:szCs w:val="13"/>
                <w:color w:val="auto"/>
              </w:rPr>
              <w:t xml:space="preserve">Restructuring costs, net </w:t>
            </w:r>
            <w:r>
              <w:rPr>
                <w:rFonts w:ascii="Arial" w:cs="Arial" w:eastAsia="Arial" w:hAnsi="Arial"/>
                <w:sz w:val="16"/>
                <w:szCs w:val="16"/>
                <w:color w:val="auto"/>
                <w:vertAlign w:val="superscript"/>
              </w:rPr>
              <w:t>(3)</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3"/>
                <w:szCs w:val="13"/>
                <w:color w:val="auto"/>
              </w:rPr>
              <w:t>785</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2"/>
          </w:tcPr>
          <w:p>
            <w:pPr>
              <w:jc w:val="right"/>
              <w:ind w:right="100"/>
              <w:spacing w:after="0" w:line="142" w:lineRule="exact"/>
              <w:rPr>
                <w:sz w:val="20"/>
                <w:szCs w:val="20"/>
                <w:color w:val="auto"/>
              </w:rPr>
            </w:pPr>
            <w:r>
              <w:rPr>
                <w:rFonts w:ascii="Arial" w:cs="Arial" w:eastAsia="Arial" w:hAnsi="Arial"/>
                <w:sz w:val="13"/>
                <w:szCs w:val="13"/>
                <w:color w:val="auto"/>
              </w:rPr>
              <w:t>(11)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3"/>
                <w:szCs w:val="13"/>
                <w:color w:val="auto"/>
              </w:rPr>
              <w:t>774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3"/>
                <w:szCs w:val="13"/>
                <w:color w:val="auto"/>
              </w:rPr>
              <w:t>0.04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98"/>
              <w:spacing w:after="0" w:line="14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220"/>
              <w:spacing w:after="0" w:line="142"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40" w:type="dxa"/>
            <w:vAlign w:val="bottom"/>
            <w:gridSpan w:val="2"/>
          </w:tcPr>
          <w:p>
            <w:pPr>
              <w:jc w:val="right"/>
              <w:ind w:right="178"/>
              <w:spacing w:after="0" w:line="142"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40" w:type="dxa"/>
            <w:vAlign w:val="bottom"/>
            <w:gridSpan w:val="2"/>
          </w:tcPr>
          <w:p>
            <w:pPr>
              <w:jc w:val="right"/>
              <w:ind w:right="120"/>
              <w:spacing w:after="0" w:line="142"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2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 xml:space="preserve">Gain on sale of assets </w:t>
            </w:r>
            <w:r>
              <w:rPr>
                <w:rFonts w:ascii="Arial" w:cs="Arial" w:eastAsia="Arial" w:hAnsi="Arial"/>
                <w:sz w:val="16"/>
                <w:szCs w:val="16"/>
                <w:color w:val="auto"/>
                <w:vertAlign w:val="superscript"/>
              </w:rPr>
              <w:t>(4)</w:t>
            </w: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38"/>
              <w:spacing w:after="0" w:line="142" w:lineRule="exact"/>
              <w:rPr>
                <w:sz w:val="20"/>
                <w:szCs w:val="20"/>
                <w:color w:val="auto"/>
              </w:rPr>
            </w:pPr>
            <w:r>
              <w:rPr>
                <w:rFonts w:ascii="Arial" w:cs="Arial" w:eastAsia="Arial" w:hAnsi="Arial"/>
                <w:sz w:val="13"/>
                <w:szCs w:val="13"/>
                <w:color w:val="auto"/>
              </w:rPr>
              <w:t>(4,296)</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220"/>
              <w:spacing w:after="0" w:line="142" w:lineRule="exact"/>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18"/>
              <w:spacing w:after="0" w:line="142" w:lineRule="exact"/>
              <w:rPr>
                <w:sz w:val="20"/>
                <w:szCs w:val="20"/>
                <w:color w:val="auto"/>
              </w:rPr>
            </w:pPr>
            <w:r>
              <w:rPr>
                <w:rFonts w:ascii="Arial" w:cs="Arial" w:eastAsia="Arial" w:hAnsi="Arial"/>
                <w:sz w:val="13"/>
                <w:szCs w:val="13"/>
                <w:color w:val="auto"/>
              </w:rPr>
              <w:t>(4,296)</w:t>
            </w:r>
          </w:p>
        </w:tc>
        <w:tc>
          <w:tcPr>
            <w:tcW w:w="10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80"/>
              <w:spacing w:after="0" w:line="142" w:lineRule="exact"/>
              <w:rPr>
                <w:sz w:val="20"/>
                <w:szCs w:val="20"/>
                <w:color w:val="auto"/>
              </w:rPr>
            </w:pPr>
            <w:r>
              <w:rPr>
                <w:rFonts w:ascii="Arial" w:cs="Arial" w:eastAsia="Arial" w:hAnsi="Arial"/>
                <w:sz w:val="13"/>
                <w:szCs w:val="13"/>
                <w:color w:val="auto"/>
              </w:rPr>
              <w:t>(0.23)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shd w:val="clear" w:color="auto" w:fill="CFF0FC"/>
          </w:tcPr>
          <w:p>
            <w:pPr>
              <w:spacing w:after="0" w:line="20" w:lineRule="exact"/>
              <w:rPr>
                <w:sz w:val="1"/>
                <w:szCs w:val="1"/>
                <w:color w:val="auto"/>
              </w:rPr>
            </w:pPr>
          </w:p>
        </w:tc>
        <w:tc>
          <w:tcPr>
            <w:tcW w:w="6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3240" w:type="dxa"/>
            <w:vAlign w:val="bottom"/>
            <w:gridSpan w:val="2"/>
          </w:tcPr>
          <w:p>
            <w:pPr>
              <w:spacing w:after="0" w:line="134" w:lineRule="exact"/>
              <w:rPr>
                <w:sz w:val="20"/>
                <w:szCs w:val="20"/>
                <w:color w:val="auto"/>
              </w:rPr>
            </w:pPr>
            <w:r>
              <w:rPr>
                <w:rFonts w:ascii="Arial" w:cs="Arial" w:eastAsia="Arial" w:hAnsi="Arial"/>
                <w:sz w:val="13"/>
                <w:szCs w:val="13"/>
                <w:color w:val="auto"/>
              </w:rPr>
              <w:t>Adjusted results</w:t>
            </w:r>
          </w:p>
        </w:tc>
        <w:tc>
          <w:tcPr>
            <w:tcW w:w="60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(21,307</w:t>
            </w:r>
          </w:p>
        </w:tc>
        <w:tc>
          <w:tcPr>
            <w:tcW w:w="240" w:type="dxa"/>
            <w:vAlign w:val="bottom"/>
          </w:tcPr>
          <w:p>
            <w:pPr>
              <w:jc w:val="right"/>
              <w:ind w:right="158"/>
              <w:spacing w:after="0"/>
              <w:rPr>
                <w:sz w:val="20"/>
                <w:szCs w:val="20"/>
                <w:color w:val="auto"/>
              </w:rPr>
            </w:pPr>
            <w:r>
              <w:rPr>
                <w:rFonts w:ascii="Arial" w:cs="Arial" w:eastAsia="Arial" w:hAnsi="Arial"/>
                <w:sz w:val="8"/>
                <w:szCs w:val="8"/>
                <w:color w:val="auto"/>
                <w:w w:val="73"/>
              </w:rPr>
              <w:t>)</w:t>
            </w:r>
          </w:p>
        </w:tc>
        <w:tc>
          <w:tcPr>
            <w:tcW w:w="200" w:type="dxa"/>
            <w:vAlign w:val="bottom"/>
            <w:tcBorders>
              <w:bottom w:val="single" w:sz="8" w:color="auto"/>
            </w:tcBorders>
          </w:tcPr>
          <w:p>
            <w:pPr>
              <w:jc w:val="right"/>
              <w:ind w:right="87"/>
              <w:spacing w:after="0"/>
              <w:rPr>
                <w:sz w:val="20"/>
                <w:szCs w:val="20"/>
                <w:color w:val="auto"/>
              </w:rPr>
            </w:pPr>
            <w:r>
              <w:rPr>
                <w:rFonts w:ascii="Arial" w:cs="Arial" w:eastAsia="Arial" w:hAnsi="Arial"/>
                <w:sz w:val="9"/>
                <w:szCs w:val="9"/>
                <w:color w:val="auto"/>
                <w:w w:val="78"/>
              </w:rPr>
              <w:t>$</w:t>
            </w:r>
          </w:p>
        </w:tc>
        <w:tc>
          <w:tcPr>
            <w:tcW w:w="52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(1,723)</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(23,030</w:t>
            </w:r>
          </w:p>
        </w:tc>
        <w:tc>
          <w:tcPr>
            <w:tcW w:w="140" w:type="dxa"/>
            <w:vAlign w:val="bottom"/>
          </w:tcPr>
          <w:p>
            <w:pPr>
              <w:jc w:val="right"/>
              <w:ind w:right="58"/>
              <w:spacing w:after="0"/>
              <w:rPr>
                <w:sz w:val="20"/>
                <w:szCs w:val="20"/>
                <w:color w:val="auto"/>
              </w:rPr>
            </w:pPr>
            <w:r>
              <w:rPr>
                <w:rFonts w:ascii="Arial" w:cs="Arial" w:eastAsia="Arial" w:hAnsi="Arial"/>
                <w:sz w:val="8"/>
                <w:szCs w:val="8"/>
                <w:color w:val="auto"/>
                <w:w w:val="73"/>
              </w:rPr>
              <w:t>)</w:t>
            </w:r>
          </w:p>
        </w:tc>
        <w:tc>
          <w:tcPr>
            <w:tcW w:w="10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(1.25)</w:t>
            </w:r>
          </w:p>
        </w:tc>
        <w:tc>
          <w:tcPr>
            <w:tcW w:w="220" w:type="dxa"/>
            <w:vAlign w:val="bottom"/>
          </w:tcPr>
          <w:p>
            <w:pPr>
              <w:spacing w:after="0"/>
              <w:rPr>
                <w:sz w:val="11"/>
                <w:szCs w:val="11"/>
                <w:color w:val="auto"/>
              </w:rPr>
            </w:pPr>
          </w:p>
        </w:tc>
        <w:tc>
          <w:tcPr>
            <w:tcW w:w="1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(33,193</w:t>
            </w:r>
          </w:p>
        </w:tc>
        <w:tc>
          <w:tcPr>
            <w:tcW w:w="120" w:type="dxa"/>
            <w:vAlign w:val="bottom"/>
          </w:tcPr>
          <w:p>
            <w:pPr>
              <w:jc w:val="right"/>
              <w:ind w:right="38"/>
              <w:spacing w:after="0"/>
              <w:rPr>
                <w:sz w:val="20"/>
                <w:szCs w:val="20"/>
                <w:color w:val="auto"/>
              </w:rPr>
            </w:pPr>
            <w:r>
              <w:rPr>
                <w:rFonts w:ascii="Arial" w:cs="Arial" w:eastAsia="Arial" w:hAnsi="Arial"/>
                <w:sz w:val="8"/>
                <w:szCs w:val="8"/>
                <w:color w:val="auto"/>
                <w:w w:val="73"/>
              </w:rPr>
              <w:t>)</w:t>
            </w:r>
          </w:p>
        </w:tc>
        <w:tc>
          <w:tcPr>
            <w:tcW w:w="80" w:type="dxa"/>
            <w:vAlign w:val="bottom"/>
          </w:tcPr>
          <w:p>
            <w:pPr>
              <w:spacing w:after="0"/>
              <w:rPr>
                <w:sz w:val="11"/>
                <w:szCs w:val="11"/>
                <w:color w:val="auto"/>
              </w:rPr>
            </w:pPr>
          </w:p>
        </w:tc>
        <w:tc>
          <w:tcPr>
            <w:tcW w:w="200" w:type="dxa"/>
            <w:vAlign w:val="bottom"/>
            <w:tcBorders>
              <w:bottom w:val="single" w:sz="8" w:color="auto"/>
            </w:tcBorders>
          </w:tcPr>
          <w:p>
            <w:pPr>
              <w:spacing w:after="0" w:line="122" w:lineRule="exact"/>
              <w:rPr>
                <w:sz w:val="20"/>
                <w:szCs w:val="20"/>
                <w:color w:val="auto"/>
              </w:rPr>
            </w:pPr>
            <w:r>
              <w:rPr>
                <w:rFonts w:ascii="Arial" w:cs="Arial" w:eastAsia="Arial" w:hAnsi="Arial"/>
                <w:sz w:val="13"/>
                <w:szCs w:val="13"/>
                <w:color w:val="auto"/>
              </w:rPr>
              <w:t>$</w:t>
            </w:r>
          </w:p>
        </w:tc>
        <w:tc>
          <w:tcPr>
            <w:tcW w:w="5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(4,021)</w:t>
            </w:r>
          </w:p>
        </w:tc>
        <w:tc>
          <w:tcPr>
            <w:tcW w:w="220" w:type="dxa"/>
            <w:vAlign w:val="bottom"/>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(37,214</w:t>
            </w:r>
          </w:p>
        </w:tc>
        <w:tc>
          <w:tcPr>
            <w:tcW w:w="200" w:type="dxa"/>
            <w:vAlign w:val="bottom"/>
          </w:tcPr>
          <w:p>
            <w:pPr>
              <w:jc w:val="right"/>
              <w:ind w:right="118"/>
              <w:spacing w:after="0"/>
              <w:rPr>
                <w:sz w:val="20"/>
                <w:szCs w:val="20"/>
                <w:color w:val="auto"/>
              </w:rPr>
            </w:pPr>
            <w:r>
              <w:rPr>
                <w:rFonts w:ascii="Arial" w:cs="Arial" w:eastAsia="Arial" w:hAnsi="Arial"/>
                <w:sz w:val="8"/>
                <w:szCs w:val="8"/>
                <w:color w:val="auto"/>
                <w:w w:val="73"/>
              </w:rPr>
              <w:t>)</w:t>
            </w:r>
          </w:p>
        </w:tc>
        <w:tc>
          <w:tcPr>
            <w:tcW w:w="1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(2.03)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2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vMerge w:val="restart"/>
          </w:tcPr>
          <w:p>
            <w:pPr>
              <w:spacing w:after="0"/>
              <w:rPr>
                <w:sz w:val="10"/>
                <w:szCs w:val="10"/>
                <w:color w:val="auto"/>
              </w:rPr>
            </w:pPr>
          </w:p>
        </w:tc>
        <w:tc>
          <w:tcPr>
            <w:tcW w:w="322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3220" w:type="dxa"/>
            <w:vAlign w:val="bottom"/>
          </w:tcPr>
          <w:p>
            <w:pPr>
              <w:spacing w:after="0"/>
              <w:rPr>
                <w:sz w:val="20"/>
                <w:szCs w:val="20"/>
                <w:color w:val="auto"/>
              </w:rPr>
            </w:pPr>
            <w:r>
              <w:rPr>
                <w:rFonts w:ascii="Arial" w:cs="Arial" w:eastAsia="Arial" w:hAnsi="Arial"/>
                <w:sz w:val="13"/>
                <w:szCs w:val="13"/>
                <w:color w:val="auto"/>
              </w:rPr>
              <w:t>Weighted average common shares outstanding</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18,455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18,299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2898775</wp:posOffset>
            </wp:positionH>
            <wp:positionV relativeFrom="paragraph">
              <wp:posOffset>-314960</wp:posOffset>
            </wp:positionV>
            <wp:extent cx="74930"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3507105</wp:posOffset>
            </wp:positionH>
            <wp:positionV relativeFrom="paragraph">
              <wp:posOffset>-314960</wp:posOffset>
            </wp:positionV>
            <wp:extent cx="74930"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4115435</wp:posOffset>
            </wp:positionH>
            <wp:positionV relativeFrom="paragraph">
              <wp:posOffset>-314960</wp:posOffset>
            </wp:positionV>
            <wp:extent cx="74930"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4723765</wp:posOffset>
            </wp:positionH>
            <wp:positionV relativeFrom="paragraph">
              <wp:posOffset>-314960</wp:posOffset>
            </wp:positionV>
            <wp:extent cx="74930"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5332095</wp:posOffset>
            </wp:positionH>
            <wp:positionV relativeFrom="paragraph">
              <wp:posOffset>-314960</wp:posOffset>
            </wp:positionV>
            <wp:extent cx="67310"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5909945</wp:posOffset>
            </wp:positionH>
            <wp:positionV relativeFrom="paragraph">
              <wp:posOffset>-314960</wp:posOffset>
            </wp:positionV>
            <wp:extent cx="67310"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6488430</wp:posOffset>
            </wp:positionH>
            <wp:positionV relativeFrom="paragraph">
              <wp:posOffset>-314960</wp:posOffset>
            </wp:positionV>
            <wp:extent cx="67310"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7081520</wp:posOffset>
            </wp:positionH>
            <wp:positionV relativeFrom="paragraph">
              <wp:posOffset>-314960</wp:posOffset>
            </wp:positionV>
            <wp:extent cx="67310"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pacing w:after="0" w:line="161" w:lineRule="exact"/>
        <w:rPr>
          <w:sz w:val="20"/>
          <w:szCs w:val="20"/>
          <w:color w:val="auto"/>
        </w:rPr>
      </w:pPr>
    </w:p>
    <w:p>
      <w:pPr>
        <w:jc w:val="both"/>
        <w:ind w:left="365" w:hanging="365"/>
        <w:spacing w:after="0" w:line="232" w:lineRule="auto"/>
        <w:tabs>
          <w:tab w:leader="none" w:pos="365" w:val="left"/>
        </w:tabs>
        <w:numPr>
          <w:ilvl w:val="0"/>
          <w:numId w:val="6"/>
        </w:numPr>
        <w:rPr>
          <w:rFonts w:ascii="Arial" w:cs="Arial" w:eastAsia="Arial" w:hAnsi="Arial"/>
          <w:sz w:val="13"/>
          <w:szCs w:val="13"/>
          <w:color w:val="auto"/>
        </w:rPr>
      </w:pPr>
      <w:r>
        <w:rPr>
          <w:rFonts w:ascii="Arial" w:cs="Arial" w:eastAsia="Arial" w:hAnsi="Arial"/>
          <w:sz w:val="13"/>
          <w:szCs w:val="13"/>
          <w:color w:val="auto"/>
        </w:rPr>
        <w:t>In the first quarter of fiscal 2026, UNIFI incurred various transition costs totaling $1,068 in connection with the consolidation of its yarn manufacturing operations including (i) facility closure and equipment relocation costs (including asset impairments and disposals) of $1,021, and (ii) employee separation costs of $47. The facility closure, equipment relocation, and employee separation costs were all recorded within Restructuring costs in the Condensed Consolidated Statements of Operations. The associated tax impact was estimated to be $0 due to a valuation allowance against net operating losses in the U.S. In the third quarter of fiscal 2025, UNIFI incurred various transition costs totaling $2,900 in connection with the consolidation of its yarn manufacturing operations including (i) facility closure and equipment relocation costs of $1,088, (ii) inventory write-downs of $1,000, (iii) excess manufacturing costs of $580, and (iv) employee separation or retention costs of $232. The facility closure, equipment relocation, employee separation and retention costs were all recorded within Restructuring costs and the inventory write-downs and excess manufacturing costs were recorded within Cost of sales in the Condensed Consolidated Statements of Operations. The associated tax impact was estimated to be $0 due to a valuation allowance against net operating losses in the U.S.</w:t>
      </w:r>
    </w:p>
    <w:p>
      <w:pPr>
        <w:spacing w:after="0" w:line="38" w:lineRule="exact"/>
        <w:rPr>
          <w:rFonts w:ascii="Arial" w:cs="Arial" w:eastAsia="Arial" w:hAnsi="Arial"/>
          <w:sz w:val="13"/>
          <w:szCs w:val="13"/>
          <w:color w:val="auto"/>
        </w:rPr>
      </w:pPr>
    </w:p>
    <w:p>
      <w:pPr>
        <w:jc w:val="both"/>
        <w:ind w:left="365" w:hanging="365"/>
        <w:spacing w:after="0" w:line="241" w:lineRule="auto"/>
        <w:tabs>
          <w:tab w:leader="none" w:pos="365" w:val="left"/>
        </w:tabs>
        <w:numPr>
          <w:ilvl w:val="0"/>
          <w:numId w:val="6"/>
        </w:numPr>
        <w:rPr>
          <w:rFonts w:ascii="Arial" w:cs="Arial" w:eastAsia="Arial" w:hAnsi="Arial"/>
          <w:sz w:val="13"/>
          <w:szCs w:val="13"/>
          <w:color w:val="auto"/>
        </w:rPr>
      </w:pPr>
      <w:r>
        <w:rPr>
          <w:rFonts w:ascii="Arial" w:cs="Arial" w:eastAsia="Arial" w:hAnsi="Arial"/>
          <w:sz w:val="13"/>
          <w:szCs w:val="13"/>
          <w:color w:val="auto"/>
        </w:rPr>
        <w:t>In the third quarter of fiscal 2026, UNIFI recorded a foreign currency gain of $1,775. In December 2025, Brazil declared dividends against the majority of its retained earnings in connection with certain tax law changes related to future dividends. Foreign currency transaction gains (losses) are recorded to reflect changes in the exchange rate of the Brazilian Real to the U.S. Dollar while the dividend payable is outstanding. The associated tax impact was estimated to be $272, based on the estimated annual tax rate for the period.</w:t>
      </w:r>
    </w:p>
    <w:p>
      <w:pPr>
        <w:spacing w:after="0" w:line="34" w:lineRule="exact"/>
        <w:rPr>
          <w:rFonts w:ascii="Arial" w:cs="Arial" w:eastAsia="Arial" w:hAnsi="Arial"/>
          <w:sz w:val="13"/>
          <w:szCs w:val="13"/>
          <w:color w:val="auto"/>
        </w:rPr>
      </w:pPr>
    </w:p>
    <w:p>
      <w:pPr>
        <w:ind w:left="365" w:hanging="365"/>
        <w:spacing w:after="0" w:line="254" w:lineRule="auto"/>
        <w:tabs>
          <w:tab w:leader="none" w:pos="365" w:val="left"/>
        </w:tabs>
        <w:numPr>
          <w:ilvl w:val="0"/>
          <w:numId w:val="6"/>
        </w:numPr>
        <w:rPr>
          <w:rFonts w:ascii="Arial" w:cs="Arial" w:eastAsia="Arial" w:hAnsi="Arial"/>
          <w:sz w:val="13"/>
          <w:szCs w:val="13"/>
          <w:color w:val="auto"/>
        </w:rPr>
      </w:pPr>
      <w:r>
        <w:rPr>
          <w:rFonts w:ascii="Arial" w:cs="Arial" w:eastAsia="Arial" w:hAnsi="Arial"/>
          <w:sz w:val="13"/>
          <w:szCs w:val="13"/>
          <w:color w:val="auto"/>
        </w:rPr>
        <w:t>In the second quarter of fiscal 2026, UNIFI recorded employee separation costs of $1,093 in connection with the Fiscal 2026 Profit Improvement Plan and a $308 gain from disposals of assets from the consolidation of Americas yarn manufacturing operations. The associated tax impact was estimated to be $11 related to employee separation costs in the Asia Segment.</w:t>
      </w:r>
    </w:p>
    <w:p>
      <w:pPr>
        <w:spacing w:after="0" w:line="38" w:lineRule="exact"/>
        <w:rPr>
          <w:rFonts w:ascii="Arial" w:cs="Arial" w:eastAsia="Arial" w:hAnsi="Arial"/>
          <w:sz w:val="13"/>
          <w:szCs w:val="13"/>
          <w:color w:val="auto"/>
        </w:rPr>
      </w:pPr>
    </w:p>
    <w:p>
      <w:pPr>
        <w:ind w:left="365" w:right="20" w:hanging="365"/>
        <w:spacing w:after="0" w:line="254" w:lineRule="auto"/>
        <w:tabs>
          <w:tab w:leader="none" w:pos="365" w:val="left"/>
        </w:tabs>
        <w:numPr>
          <w:ilvl w:val="0"/>
          <w:numId w:val="6"/>
        </w:numPr>
        <w:rPr>
          <w:rFonts w:ascii="Arial" w:cs="Arial" w:eastAsia="Arial" w:hAnsi="Arial"/>
          <w:sz w:val="13"/>
          <w:szCs w:val="13"/>
          <w:color w:val="auto"/>
        </w:rPr>
      </w:pPr>
      <w:r>
        <w:rPr>
          <w:rFonts w:ascii="Arial" w:cs="Arial" w:eastAsia="Arial" w:hAnsi="Arial"/>
          <w:sz w:val="13"/>
          <w:szCs w:val="13"/>
          <w:color w:val="auto"/>
        </w:rPr>
        <w:t>In the second quarter of fiscal 2025, UNIFI recorded a gain of $4,296 related to the sale of a warehouse located in Yadkinville, North Carolina. The associated tax impact was estimated to be $0 due to a valuation allowance against net operating losses and capital losses in the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707390</wp:posOffset>
            </wp:positionV>
            <wp:extent cx="7174865" cy="406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440" w:right="31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449580</wp:posOffset>
            </wp:positionV>
            <wp:extent cx="1081405" cy="4057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clrChange>
                        <a:clrFrom>
                          <a:srgbClr val="FFFFFF"/>
                        </a:clrFrom>
                        <a:clrTo>
                          <a:srgbClr val="FFFFFF">
                            <a:alpha val="0"/>
                          </a:srgbClr>
                        </a:clrTo>
                      </a:clrChange>
                      <a:extLst>
                        <a:ext uri="{28A0092B-C50C-407E-A947-70E740481C1C}"/>
                      </a:extLst>
                    </a:blip>
                    <a:srcRect/>
                    <a:stretch>
                      <a:fillRect/>
                    </a:stretch>
                  </pic:blipFill>
                  <pic:spPr bwMode="auto">
                    <a:xfrm>
                      <a:off x="0" y="0"/>
                      <a:ext cx="1081405" cy="405765"/>
                    </a:xfrm>
                    <a:prstGeom prst="rect">
                      <a:avLst/>
                    </a:prstGeom>
                    <a:noFill/>
                  </pic:spPr>
                </pic:pic>
              </a:graphicData>
            </a:graphic>
          </wp:anchor>
        </w:drawing>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00" w:type="dxa"/>
            <w:vAlign w:val="bottom"/>
            <w:tcBorders>
              <w:bottom w:val="single" w:sz="8" w:color="auto"/>
            </w:tcBorders>
            <w:gridSpan w:val="2"/>
          </w:tcPr>
          <w:p>
            <w:pPr>
              <w:spacing w:after="0"/>
              <w:rPr>
                <w:sz w:val="20"/>
                <w:szCs w:val="20"/>
                <w:color w:val="auto"/>
              </w:rPr>
            </w:pPr>
            <w:r>
              <w:rPr>
                <w:rFonts w:ascii="Arial" w:cs="Arial" w:eastAsia="Arial" w:hAnsi="Arial"/>
                <w:sz w:val="13"/>
                <w:szCs w:val="13"/>
                <w:i w:val="1"/>
                <w:iCs w:val="1"/>
                <w:color w:val="auto"/>
                <w:w w:val="95"/>
              </w:rPr>
              <w:t>Net Debt (Non-GAAP Financial Measure)</w:t>
            </w:r>
          </w:p>
        </w:tc>
        <w:tc>
          <w:tcPr>
            <w:tcW w:w="5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7720" w:type="dxa"/>
            <w:vAlign w:val="bottom"/>
            <w:gridSpan w:val="3"/>
          </w:tcPr>
          <w:p>
            <w:pPr>
              <w:spacing w:after="0"/>
              <w:rPr>
                <w:sz w:val="20"/>
                <w:szCs w:val="20"/>
                <w:color w:val="auto"/>
              </w:rPr>
            </w:pPr>
            <w:r>
              <w:rPr>
                <w:rFonts w:ascii="Arial" w:cs="Arial" w:eastAsia="Arial" w:hAnsi="Arial"/>
                <w:sz w:val="13"/>
                <w:szCs w:val="13"/>
                <w:color w:val="auto"/>
              </w:rPr>
              <w:t>Reconciliations of Net Debt are as follows:</w:t>
            </w: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March 29, 2026</w:t>
            </w:r>
          </w:p>
        </w:tc>
        <w:tc>
          <w:tcPr>
            <w:tcW w:w="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June 29, 2025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70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Long-term debt</w:t>
            </w:r>
          </w:p>
        </w:tc>
        <w:tc>
          <w:tcPr>
            <w:tcW w:w="200" w:type="dxa"/>
            <w:vAlign w:val="bottom"/>
            <w:shd w:val="clear" w:color="auto" w:fill="CFF0FC"/>
          </w:tcPr>
          <w:p>
            <w:pPr>
              <w:jc w:val="right"/>
              <w:ind w:right="93"/>
              <w:spacing w:after="0"/>
              <w:rPr>
                <w:sz w:val="20"/>
                <w:szCs w:val="20"/>
                <w:color w:val="auto"/>
              </w:rPr>
            </w:pPr>
            <w:r>
              <w:rPr>
                <w:rFonts w:ascii="Arial" w:cs="Arial" w:eastAsia="Arial" w:hAnsi="Arial"/>
                <w:sz w:val="9"/>
                <w:szCs w:val="9"/>
                <w:color w:val="auto"/>
                <w:w w:val="78"/>
              </w:rPr>
              <w:t>$</w:t>
            </w:r>
          </w:p>
        </w:tc>
        <w:tc>
          <w:tcPr>
            <w:tcW w:w="13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82,242</w:t>
            </w:r>
          </w:p>
        </w:tc>
        <w:tc>
          <w:tcPr>
            <w:tcW w:w="520" w:type="dxa"/>
            <w:vAlign w:val="bottom"/>
            <w:gridSpan w:val="2"/>
            <w:shd w:val="clear" w:color="auto" w:fill="CFF0FC"/>
          </w:tcPr>
          <w:p>
            <w:pPr>
              <w:jc w:val="right"/>
              <w:ind w:right="113"/>
              <w:spacing w:after="0" w:line="134" w:lineRule="exact"/>
              <w:rPr>
                <w:sz w:val="20"/>
                <w:szCs w:val="20"/>
                <w:color w:val="auto"/>
              </w:rPr>
            </w:pPr>
            <w:r>
              <w:rPr>
                <w:rFonts w:ascii="Arial" w:cs="Arial" w:eastAsia="Arial" w:hAnsi="Arial"/>
                <w:sz w:val="13"/>
                <w:szCs w:val="13"/>
                <w:color w:val="auto"/>
              </w:rPr>
              <w:t>$</w:t>
            </w:r>
          </w:p>
        </w:tc>
        <w:tc>
          <w:tcPr>
            <w:tcW w:w="1440" w:type="dxa"/>
            <w:vAlign w:val="bottom"/>
            <w:gridSpan w:val="2"/>
            <w:shd w:val="clear" w:color="auto" w:fill="CFF0FC"/>
          </w:tcPr>
          <w:p>
            <w:pPr>
              <w:jc w:val="right"/>
              <w:ind w:right="120"/>
              <w:spacing w:after="0" w:line="134" w:lineRule="exact"/>
              <w:rPr>
                <w:sz w:val="20"/>
                <w:szCs w:val="20"/>
                <w:color w:val="auto"/>
              </w:rPr>
            </w:pPr>
            <w:r>
              <w:rPr>
                <w:rFonts w:ascii="Arial" w:cs="Arial" w:eastAsia="Arial" w:hAnsi="Arial"/>
                <w:sz w:val="13"/>
                <w:szCs w:val="13"/>
                <w:color w:val="auto"/>
              </w:rPr>
              <w:t>95,727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00" w:type="dxa"/>
            <w:vAlign w:val="bottom"/>
            <w:gridSpan w:val="2"/>
          </w:tcPr>
          <w:p>
            <w:pPr>
              <w:spacing w:after="0" w:line="142" w:lineRule="exact"/>
              <w:rPr>
                <w:sz w:val="20"/>
                <w:szCs w:val="20"/>
                <w:color w:val="auto"/>
              </w:rPr>
            </w:pPr>
            <w:r>
              <w:rPr>
                <w:rFonts w:ascii="Arial" w:cs="Arial" w:eastAsia="Arial" w:hAnsi="Arial"/>
                <w:sz w:val="13"/>
                <w:szCs w:val="13"/>
                <w:color w:val="auto"/>
              </w:rPr>
              <w:t>Current portion of long-term debt</w:t>
            </w:r>
          </w:p>
        </w:tc>
        <w:tc>
          <w:tcPr>
            <w:tcW w:w="200" w:type="dxa"/>
            <w:vAlign w:val="bottom"/>
          </w:tcPr>
          <w:p>
            <w:pPr>
              <w:spacing w:after="0"/>
              <w:rPr>
                <w:sz w:val="12"/>
                <w:szCs w:val="12"/>
                <w:color w:val="auto"/>
              </w:rPr>
            </w:pPr>
          </w:p>
        </w:tc>
        <w:tc>
          <w:tcPr>
            <w:tcW w:w="1380" w:type="dxa"/>
            <w:vAlign w:val="bottom"/>
          </w:tcPr>
          <w:p>
            <w:pPr>
              <w:jc w:val="right"/>
              <w:spacing w:after="0" w:line="142" w:lineRule="exact"/>
              <w:rPr>
                <w:sz w:val="20"/>
                <w:szCs w:val="20"/>
                <w:color w:val="auto"/>
              </w:rPr>
            </w:pPr>
            <w:r>
              <w:rPr>
                <w:rFonts w:ascii="Arial" w:cs="Arial" w:eastAsia="Arial" w:hAnsi="Arial"/>
                <w:sz w:val="13"/>
                <w:szCs w:val="13"/>
                <w:color w:val="auto"/>
              </w:rPr>
              <w:t>12,614</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tcPr>
          <w:p>
            <w:pPr>
              <w:jc w:val="right"/>
              <w:ind w:right="120"/>
              <w:spacing w:after="0" w:line="142" w:lineRule="exact"/>
              <w:rPr>
                <w:sz w:val="20"/>
                <w:szCs w:val="20"/>
                <w:color w:val="auto"/>
              </w:rPr>
            </w:pPr>
            <w:r>
              <w:rPr>
                <w:rFonts w:ascii="Arial" w:cs="Arial" w:eastAsia="Arial" w:hAnsi="Arial"/>
                <w:sz w:val="13"/>
                <w:szCs w:val="13"/>
                <w:color w:val="auto"/>
              </w:rPr>
              <w:t>12,159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00" w:type="dxa"/>
            <w:vAlign w:val="bottom"/>
            <w:gridSpan w:val="2"/>
            <w:shd w:val="clear" w:color="auto" w:fill="CFF0FC"/>
          </w:tcPr>
          <w:p>
            <w:pPr>
              <w:spacing w:after="0" w:line="142" w:lineRule="exact"/>
              <w:rPr>
                <w:sz w:val="20"/>
                <w:szCs w:val="20"/>
                <w:color w:val="auto"/>
              </w:rPr>
            </w:pPr>
            <w:r>
              <w:rPr>
                <w:rFonts w:ascii="Arial" w:cs="Arial" w:eastAsia="Arial" w:hAnsi="Arial"/>
                <w:sz w:val="13"/>
                <w:szCs w:val="13"/>
                <w:color w:val="auto"/>
              </w:rPr>
              <w:t>Unamortized debt issuance costs</w:t>
            </w:r>
          </w:p>
        </w:tc>
        <w:tc>
          <w:tcPr>
            <w:tcW w:w="20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83</w:t>
            </w:r>
          </w:p>
        </w:tc>
        <w:tc>
          <w:tcPr>
            <w:tcW w:w="3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120"/>
              <w:spacing w:after="0" w:line="142" w:lineRule="exact"/>
              <w:rPr>
                <w:sz w:val="20"/>
                <w:szCs w:val="20"/>
                <w:color w:val="auto"/>
              </w:rPr>
            </w:pPr>
            <w:r>
              <w:rPr>
                <w:rFonts w:ascii="Arial" w:cs="Arial" w:eastAsia="Arial" w:hAnsi="Arial"/>
                <w:sz w:val="13"/>
                <w:szCs w:val="13"/>
                <w:color w:val="auto"/>
              </w:rPr>
              <w:t>122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80" w:type="dxa"/>
            <w:vAlign w:val="bottom"/>
            <w:shd w:val="clear" w:color="auto" w:fill="CFF0FC"/>
          </w:tcPr>
          <w:p>
            <w:pPr>
              <w:spacing w:after="0" w:line="20" w:lineRule="exact"/>
              <w:rPr>
                <w:sz w:val="1"/>
                <w:szCs w:val="1"/>
                <w:color w:val="auto"/>
              </w:rPr>
            </w:pPr>
          </w:p>
        </w:tc>
        <w:tc>
          <w:tcPr>
            <w:tcW w:w="54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vMerge w:val="continue"/>
          </w:tcPr>
          <w:p>
            <w:pPr>
              <w:spacing w:after="0"/>
              <w:rPr>
                <w:sz w:val="11"/>
                <w:szCs w:val="11"/>
                <w:color w:val="auto"/>
              </w:rPr>
            </w:pPr>
          </w:p>
        </w:tc>
        <w:tc>
          <w:tcPr>
            <w:tcW w:w="7700" w:type="dxa"/>
            <w:vAlign w:val="bottom"/>
            <w:gridSpan w:val="2"/>
          </w:tcPr>
          <w:p>
            <w:pPr>
              <w:spacing w:after="0" w:line="134" w:lineRule="exact"/>
              <w:rPr>
                <w:sz w:val="20"/>
                <w:szCs w:val="20"/>
                <w:color w:val="auto"/>
              </w:rPr>
            </w:pPr>
            <w:r>
              <w:rPr>
                <w:rFonts w:ascii="Arial" w:cs="Arial" w:eastAsia="Arial" w:hAnsi="Arial"/>
                <w:sz w:val="13"/>
                <w:szCs w:val="13"/>
                <w:color w:val="auto"/>
              </w:rPr>
              <w:t>Debt principal</w:t>
            </w:r>
          </w:p>
        </w:tc>
        <w:tc>
          <w:tcPr>
            <w:tcW w:w="200" w:type="dxa"/>
            <w:vAlign w:val="bottom"/>
          </w:tcPr>
          <w:p>
            <w:pPr>
              <w:spacing w:after="0"/>
              <w:rPr>
                <w:sz w:val="11"/>
                <w:szCs w:val="11"/>
                <w:color w:val="auto"/>
              </w:rPr>
            </w:pPr>
          </w:p>
        </w:tc>
        <w:tc>
          <w:tcPr>
            <w:tcW w:w="1380" w:type="dxa"/>
            <w:vAlign w:val="bottom"/>
          </w:tcPr>
          <w:p>
            <w:pPr>
              <w:jc w:val="right"/>
              <w:spacing w:after="0" w:line="134" w:lineRule="exact"/>
              <w:rPr>
                <w:sz w:val="20"/>
                <w:szCs w:val="20"/>
                <w:color w:val="auto"/>
              </w:rPr>
            </w:pPr>
            <w:r>
              <w:rPr>
                <w:rFonts w:ascii="Arial" w:cs="Arial" w:eastAsia="Arial" w:hAnsi="Arial"/>
                <w:sz w:val="13"/>
                <w:szCs w:val="13"/>
                <w:color w:val="auto"/>
              </w:rPr>
              <w:t>94,939</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gridSpan w:val="2"/>
          </w:tcPr>
          <w:p>
            <w:pPr>
              <w:jc w:val="right"/>
              <w:ind w:right="120"/>
              <w:spacing w:after="0" w:line="134" w:lineRule="exact"/>
              <w:rPr>
                <w:sz w:val="20"/>
                <w:szCs w:val="20"/>
                <w:color w:val="auto"/>
              </w:rPr>
            </w:pPr>
            <w:r>
              <w:rPr>
                <w:rFonts w:ascii="Arial" w:cs="Arial" w:eastAsia="Arial" w:hAnsi="Arial"/>
                <w:sz w:val="13"/>
                <w:szCs w:val="13"/>
                <w:color w:val="auto"/>
              </w:rPr>
              <w:t>108,008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00" w:type="dxa"/>
            <w:vAlign w:val="bottom"/>
            <w:gridSpan w:val="2"/>
            <w:shd w:val="clear" w:color="auto" w:fill="CFF0FC"/>
          </w:tcPr>
          <w:p>
            <w:pPr>
              <w:spacing w:after="0" w:line="142" w:lineRule="exact"/>
              <w:rPr>
                <w:sz w:val="20"/>
                <w:szCs w:val="20"/>
                <w:color w:val="auto"/>
              </w:rPr>
            </w:pPr>
            <w:r>
              <w:rPr>
                <w:rFonts w:ascii="Arial" w:cs="Arial" w:eastAsia="Arial" w:hAnsi="Arial"/>
                <w:sz w:val="13"/>
                <w:szCs w:val="13"/>
                <w:color w:val="auto"/>
              </w:rPr>
              <w:t>Less: cash and cash equivalents</w:t>
            </w:r>
          </w:p>
        </w:tc>
        <w:tc>
          <w:tcPr>
            <w:tcW w:w="20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26,561</w:t>
            </w:r>
          </w:p>
        </w:tc>
        <w:tc>
          <w:tcPr>
            <w:tcW w:w="3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120"/>
              <w:spacing w:after="0" w:line="142" w:lineRule="exact"/>
              <w:rPr>
                <w:sz w:val="20"/>
                <w:szCs w:val="20"/>
                <w:color w:val="auto"/>
              </w:rPr>
            </w:pPr>
            <w:r>
              <w:rPr>
                <w:rFonts w:ascii="Arial" w:cs="Arial" w:eastAsia="Arial" w:hAnsi="Arial"/>
                <w:sz w:val="13"/>
                <w:szCs w:val="13"/>
                <w:color w:val="auto"/>
              </w:rPr>
              <w:t>22,664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shd w:val="clear" w:color="auto" w:fill="CFF0FC"/>
          </w:tcPr>
          <w:p>
            <w:pPr>
              <w:spacing w:after="0" w:line="20" w:lineRule="exact"/>
              <w:rPr>
                <w:sz w:val="1"/>
                <w:szCs w:val="1"/>
                <w:color w:val="auto"/>
              </w:rPr>
            </w:pPr>
          </w:p>
        </w:tc>
        <w:tc>
          <w:tcPr>
            <w:tcW w:w="54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7720" w:type="dxa"/>
            <w:vAlign w:val="bottom"/>
            <w:gridSpan w:val="3"/>
          </w:tcPr>
          <w:p>
            <w:pPr>
              <w:spacing w:after="0" w:line="134" w:lineRule="exact"/>
              <w:rPr>
                <w:sz w:val="20"/>
                <w:szCs w:val="20"/>
                <w:color w:val="auto"/>
              </w:rPr>
            </w:pPr>
            <w:r>
              <w:rPr>
                <w:rFonts w:ascii="Arial" w:cs="Arial" w:eastAsia="Arial" w:hAnsi="Arial"/>
                <w:sz w:val="13"/>
                <w:szCs w:val="13"/>
                <w:color w:val="auto"/>
              </w:rPr>
              <w:t>Net Debt</w:t>
            </w:r>
          </w:p>
        </w:tc>
        <w:tc>
          <w:tcPr>
            <w:tcW w:w="200" w:type="dxa"/>
            <w:vAlign w:val="bottom"/>
            <w:tcBorders>
              <w:bottom w:val="single" w:sz="8" w:color="auto"/>
            </w:tcBorders>
          </w:tcPr>
          <w:p>
            <w:pPr>
              <w:jc w:val="right"/>
              <w:ind w:right="93"/>
              <w:spacing w:after="0"/>
              <w:rPr>
                <w:sz w:val="20"/>
                <w:szCs w:val="20"/>
                <w:color w:val="auto"/>
              </w:rPr>
            </w:pPr>
            <w:r>
              <w:rPr>
                <w:rFonts w:ascii="Arial" w:cs="Arial" w:eastAsia="Arial" w:hAnsi="Arial"/>
                <w:sz w:val="9"/>
                <w:szCs w:val="9"/>
                <w:color w:val="auto"/>
                <w:w w:val="78"/>
              </w:rPr>
              <w:t>$</w:t>
            </w:r>
          </w:p>
        </w:tc>
        <w:tc>
          <w:tcPr>
            <w:tcW w:w="138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68,378</w:t>
            </w:r>
          </w:p>
        </w:tc>
        <w:tc>
          <w:tcPr>
            <w:tcW w:w="300" w:type="dxa"/>
            <w:vAlign w:val="bottom"/>
          </w:tcPr>
          <w:p>
            <w:pPr>
              <w:spacing w:after="0"/>
              <w:rPr>
                <w:sz w:val="11"/>
                <w:szCs w:val="11"/>
                <w:color w:val="auto"/>
              </w:rPr>
            </w:pPr>
          </w:p>
        </w:tc>
        <w:tc>
          <w:tcPr>
            <w:tcW w:w="220" w:type="dxa"/>
            <w:vAlign w:val="bottom"/>
            <w:tcBorders>
              <w:bottom w:val="single" w:sz="8" w:color="auto"/>
            </w:tcBorders>
          </w:tcPr>
          <w:p>
            <w:pPr>
              <w:jc w:val="right"/>
              <w:ind w:right="113"/>
              <w:spacing w:after="0"/>
              <w:rPr>
                <w:sz w:val="20"/>
                <w:szCs w:val="20"/>
                <w:color w:val="auto"/>
              </w:rPr>
            </w:pPr>
            <w:r>
              <w:rPr>
                <w:rFonts w:ascii="Arial" w:cs="Arial" w:eastAsia="Arial" w:hAnsi="Arial"/>
                <w:sz w:val="9"/>
                <w:szCs w:val="9"/>
                <w:color w:val="auto"/>
                <w:w w:val="78"/>
              </w:rPr>
              <w:t>$</w:t>
            </w:r>
          </w:p>
        </w:tc>
        <w:tc>
          <w:tcPr>
            <w:tcW w:w="132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85,344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5899150</wp:posOffset>
            </wp:positionH>
            <wp:positionV relativeFrom="paragraph">
              <wp:posOffset>-307340</wp:posOffset>
            </wp:positionV>
            <wp:extent cx="74930"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-307340</wp:posOffset>
            </wp:positionV>
            <wp:extent cx="67310"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5899150</wp:posOffset>
            </wp:positionH>
            <wp:positionV relativeFrom="paragraph">
              <wp:posOffset>-119380</wp:posOffset>
            </wp:positionV>
            <wp:extent cx="74930"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-119380</wp:posOffset>
            </wp:positionV>
            <wp:extent cx="67310"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Cash and cash equivalents</w:t>
      </w:r>
    </w:p>
    <w:p>
      <w:pPr>
        <w:spacing w:after="0" w:line="85" w:lineRule="exact"/>
        <w:rPr>
          <w:sz w:val="20"/>
          <w:szCs w:val="20"/>
          <w:color w:val="auto"/>
        </w:rPr>
      </w:pPr>
    </w:p>
    <w:p>
      <w:pPr>
        <w:spacing w:after="0"/>
        <w:rPr>
          <w:sz w:val="20"/>
          <w:szCs w:val="20"/>
          <w:color w:val="auto"/>
        </w:rPr>
      </w:pPr>
      <w:r>
        <w:rPr>
          <w:rFonts w:ascii="Arial" w:cs="Arial" w:eastAsia="Arial" w:hAnsi="Arial"/>
          <w:sz w:val="13"/>
          <w:szCs w:val="13"/>
          <w:color w:val="auto"/>
        </w:rPr>
        <w:t>At March 29, 2026 and June 29, 2025, UNIFI’s foreign operations held nearly all consolidated cash and cash equivalents.</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REPREVE Fiber</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REPREVE Fiber represents UNIFI’s collection of fiber products on its recycled platform, with or without added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723265</wp:posOffset>
            </wp:positionV>
            <wp:extent cx="7174865" cy="406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449580</wp:posOffset>
            </wp:positionV>
            <wp:extent cx="1081405" cy="4057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clrChange>
                        <a:clrFrom>
                          <a:srgbClr val="FFFFFF"/>
                        </a:clrFrom>
                        <a:clrTo>
                          <a:srgbClr val="FFFFFF">
                            <a:alpha val="0"/>
                          </a:srgbClr>
                        </a:clrTo>
                      </a:clrChange>
                      <a:extLst>
                        <a:ext uri="{28A0092B-C50C-407E-A947-70E740481C1C}"/>
                      </a:extLst>
                    </a:blip>
                    <a:srcRect/>
                    <a:stretch>
                      <a:fillRect/>
                    </a:stretch>
                  </pic:blipFill>
                  <pic:spPr bwMode="auto">
                    <a:xfrm>
                      <a:off x="0" y="0"/>
                      <a:ext cx="1081405" cy="405765"/>
                    </a:xfrm>
                    <a:prstGeom prst="rect">
                      <a:avLst/>
                    </a:prstGeom>
                    <a:noFill/>
                  </pic:spPr>
                </pic:pic>
              </a:graphicData>
            </a:graphic>
          </wp:anchor>
        </w:drawing>
      </w:r>
    </w:p>
    <w:p>
      <w:pPr>
        <w:spacing w:after="0" w:line="219" w:lineRule="exact"/>
        <w:rPr>
          <w:sz w:val="20"/>
          <w:szCs w:val="20"/>
          <w:color w:val="auto"/>
        </w:rPr>
      </w:pPr>
    </w:p>
    <w:p>
      <w:pPr>
        <w:ind w:left="5"/>
        <w:spacing w:after="0"/>
        <w:rPr>
          <w:sz w:val="20"/>
          <w:szCs w:val="20"/>
          <w:color w:val="auto"/>
        </w:rPr>
      </w:pPr>
      <w:r>
        <w:rPr>
          <w:rFonts w:ascii="Arial" w:cs="Arial" w:eastAsia="Arial" w:hAnsi="Arial"/>
          <w:sz w:val="13"/>
          <w:szCs w:val="13"/>
          <w:b w:val="1"/>
          <w:bCs w:val="1"/>
          <w:u w:val="single" w:color="auto"/>
          <w:color w:val="auto"/>
        </w:rPr>
        <w:t>Non-GAAP Financial Measures</w:t>
      </w:r>
    </w:p>
    <w:p>
      <w:pPr>
        <w:spacing w:after="0" w:line="123" w:lineRule="exact"/>
        <w:rPr>
          <w:sz w:val="20"/>
          <w:szCs w:val="20"/>
          <w:color w:val="auto"/>
        </w:rPr>
      </w:pPr>
    </w:p>
    <w:p>
      <w:pPr>
        <w:ind w:left="5" w:right="20"/>
        <w:spacing w:after="0" w:line="295" w:lineRule="auto"/>
        <w:rPr>
          <w:sz w:val="20"/>
          <w:szCs w:val="20"/>
          <w:color w:val="auto"/>
        </w:rPr>
      </w:pPr>
      <w:r>
        <w:rPr>
          <w:rFonts w:ascii="Arial" w:cs="Arial" w:eastAsia="Arial" w:hAnsi="Arial"/>
          <w:sz w:val="12"/>
          <w:szCs w:val="12"/>
          <w:color w:val="auto"/>
        </w:rPr>
        <w:t>Certain non-GAAP financial measures included herein are designed to complement the financial information presented in accordance with GAAP. These non-GAAP financial measures include Earnings Before Interest, Taxes, Depreciation and Amortization (“EBITDA”), Adjusted EBITDA, Adjusted Net (Loss) Income, Adjusted EPS, and Net Debt (together, the “non-GAAP financial measures”).</w:t>
      </w:r>
    </w:p>
    <w:p>
      <w:pPr>
        <w:spacing w:after="0" w:line="51" w:lineRule="exact"/>
        <w:rPr>
          <w:sz w:val="20"/>
          <w:szCs w:val="20"/>
          <w:color w:val="auto"/>
        </w:rPr>
      </w:pPr>
    </w:p>
    <w:p>
      <w:pPr>
        <w:ind w:left="365" w:hanging="365"/>
        <w:spacing w:after="0"/>
        <w:tabs>
          <w:tab w:leader="none" w:pos="365" w:val="left"/>
        </w:tabs>
        <w:numPr>
          <w:ilvl w:val="0"/>
          <w:numId w:val="7"/>
        </w:numPr>
        <w:rPr>
          <w:rFonts w:ascii="Times New Roman" w:cs="Times New Roman" w:eastAsia="Times New Roman" w:hAnsi="Times New Roman"/>
          <w:sz w:val="12"/>
          <w:szCs w:val="12"/>
          <w:color w:val="auto"/>
        </w:rPr>
      </w:pPr>
      <w:r>
        <w:rPr>
          <w:rFonts w:ascii="Arial" w:cs="Arial" w:eastAsia="Arial" w:hAnsi="Arial"/>
          <w:sz w:val="13"/>
          <w:szCs w:val="13"/>
          <w:color w:val="auto"/>
        </w:rPr>
        <w:t>EBITDA represents Net (loss) income before net interest expense, income tax expense, and depreciation and amortization expense.</w:t>
      </w:r>
    </w:p>
    <w:p>
      <w:pPr>
        <w:spacing w:after="0" w:line="110" w:lineRule="exact"/>
        <w:rPr>
          <w:rFonts w:ascii="Times New Roman" w:cs="Times New Roman" w:eastAsia="Times New Roman" w:hAnsi="Times New Roman"/>
          <w:sz w:val="12"/>
          <w:szCs w:val="12"/>
          <w:color w:val="auto"/>
        </w:rPr>
      </w:pPr>
    </w:p>
    <w:p>
      <w:pPr>
        <w:ind w:left="365" w:hanging="365"/>
        <w:spacing w:after="0"/>
        <w:tabs>
          <w:tab w:leader="none" w:pos="365" w:val="left"/>
        </w:tabs>
        <w:numPr>
          <w:ilvl w:val="0"/>
          <w:numId w:val="7"/>
        </w:numPr>
        <w:rPr>
          <w:rFonts w:ascii="Times New Roman" w:cs="Times New Roman" w:eastAsia="Times New Roman" w:hAnsi="Times New Roman"/>
          <w:sz w:val="12"/>
          <w:szCs w:val="12"/>
          <w:color w:val="auto"/>
        </w:rPr>
      </w:pPr>
      <w:r>
        <w:rPr>
          <w:rFonts w:ascii="Arial" w:cs="Arial" w:eastAsia="Arial" w:hAnsi="Arial"/>
          <w:sz w:val="13"/>
          <w:szCs w:val="13"/>
          <w:color w:val="auto"/>
        </w:rPr>
        <w:t>Adjusted EBITDA represents EBITDA adjusted to exclude, from time to time, certain adjustments necessary to understand and compare the underlying results of UNIFI.</w:t>
      </w:r>
    </w:p>
    <w:p>
      <w:pPr>
        <w:spacing w:after="0" w:line="98" w:lineRule="exact"/>
        <w:rPr>
          <w:rFonts w:ascii="Times New Roman" w:cs="Times New Roman" w:eastAsia="Times New Roman" w:hAnsi="Times New Roman"/>
          <w:sz w:val="12"/>
          <w:szCs w:val="12"/>
          <w:color w:val="auto"/>
        </w:rPr>
      </w:pPr>
    </w:p>
    <w:p>
      <w:pPr>
        <w:ind w:left="365" w:right="20" w:hanging="365"/>
        <w:spacing w:after="0" w:line="254" w:lineRule="auto"/>
        <w:tabs>
          <w:tab w:leader="none" w:pos="365" w:val="left"/>
        </w:tabs>
        <w:numPr>
          <w:ilvl w:val="0"/>
          <w:numId w:val="7"/>
        </w:numPr>
        <w:rPr>
          <w:rFonts w:ascii="Times New Roman" w:cs="Times New Roman" w:eastAsia="Times New Roman" w:hAnsi="Times New Roman"/>
          <w:sz w:val="12"/>
          <w:szCs w:val="12"/>
          <w:color w:val="auto"/>
        </w:rPr>
      </w:pPr>
      <w:r>
        <w:rPr>
          <w:rFonts w:ascii="Arial" w:cs="Arial" w:eastAsia="Arial" w:hAnsi="Arial"/>
          <w:sz w:val="13"/>
          <w:szCs w:val="13"/>
          <w:color w:val="auto"/>
        </w:rPr>
        <w:t>Adjusted Net (Loss) Income represents Net (loss) income calculated under GAAP adjusted to exclude certain amounts. Management believes the excluded amounts do not reflect the ongoing operations and performance of UNIFI and/or exclusion may be necessary to understand and compare the underlying results of UNIFI.</w:t>
      </w:r>
    </w:p>
    <w:p>
      <w:pPr>
        <w:spacing w:after="0" w:line="73" w:lineRule="exact"/>
        <w:rPr>
          <w:rFonts w:ascii="Times New Roman" w:cs="Times New Roman" w:eastAsia="Times New Roman" w:hAnsi="Times New Roman"/>
          <w:sz w:val="12"/>
          <w:szCs w:val="12"/>
          <w:color w:val="auto"/>
        </w:rPr>
      </w:pPr>
    </w:p>
    <w:p>
      <w:pPr>
        <w:ind w:left="365" w:hanging="365"/>
        <w:spacing w:after="0"/>
        <w:tabs>
          <w:tab w:leader="none" w:pos="365" w:val="left"/>
        </w:tabs>
        <w:numPr>
          <w:ilvl w:val="0"/>
          <w:numId w:val="7"/>
        </w:numPr>
        <w:rPr>
          <w:rFonts w:ascii="Times New Roman" w:cs="Times New Roman" w:eastAsia="Times New Roman" w:hAnsi="Times New Roman"/>
          <w:sz w:val="12"/>
          <w:szCs w:val="12"/>
          <w:color w:val="auto"/>
        </w:rPr>
      </w:pPr>
      <w:r>
        <w:rPr>
          <w:rFonts w:ascii="Arial" w:cs="Arial" w:eastAsia="Arial" w:hAnsi="Arial"/>
          <w:sz w:val="13"/>
          <w:szCs w:val="13"/>
          <w:color w:val="auto"/>
        </w:rPr>
        <w:t>Adjusted EPS represents Adjusted Net (Loss) Income divided by UNIFI’s weighted average common shares outstanding.</w:t>
      </w:r>
    </w:p>
    <w:p>
      <w:pPr>
        <w:spacing w:after="0" w:line="110" w:lineRule="exact"/>
        <w:rPr>
          <w:rFonts w:ascii="Times New Roman" w:cs="Times New Roman" w:eastAsia="Times New Roman" w:hAnsi="Times New Roman"/>
          <w:sz w:val="12"/>
          <w:szCs w:val="12"/>
          <w:color w:val="auto"/>
        </w:rPr>
      </w:pPr>
    </w:p>
    <w:p>
      <w:pPr>
        <w:ind w:left="365" w:hanging="365"/>
        <w:spacing w:after="0"/>
        <w:tabs>
          <w:tab w:leader="none" w:pos="365" w:val="left"/>
        </w:tabs>
        <w:numPr>
          <w:ilvl w:val="0"/>
          <w:numId w:val="7"/>
        </w:numPr>
        <w:rPr>
          <w:rFonts w:ascii="Times New Roman" w:cs="Times New Roman" w:eastAsia="Times New Roman" w:hAnsi="Times New Roman"/>
          <w:sz w:val="12"/>
          <w:szCs w:val="12"/>
          <w:color w:val="auto"/>
        </w:rPr>
      </w:pPr>
      <w:r>
        <w:rPr>
          <w:rFonts w:ascii="Arial" w:cs="Arial" w:eastAsia="Arial" w:hAnsi="Arial"/>
          <w:sz w:val="13"/>
          <w:szCs w:val="13"/>
          <w:color w:val="auto"/>
        </w:rPr>
        <w:t>Net Debt represents debt principal less cash and cash equivalents.</w:t>
      </w:r>
    </w:p>
    <w:p>
      <w:pPr>
        <w:spacing w:after="0" w:line="99" w:lineRule="exact"/>
        <w:rPr>
          <w:sz w:val="20"/>
          <w:szCs w:val="20"/>
          <w:color w:val="auto"/>
        </w:rPr>
      </w:pPr>
    </w:p>
    <w:p>
      <w:pPr>
        <w:jc w:val="both"/>
        <w:ind w:left="5"/>
        <w:spacing w:after="0" w:line="241" w:lineRule="auto"/>
        <w:rPr>
          <w:sz w:val="20"/>
          <w:szCs w:val="20"/>
          <w:color w:val="auto"/>
        </w:rPr>
      </w:pPr>
      <w:r>
        <w:rPr>
          <w:rFonts w:ascii="Arial" w:cs="Arial" w:eastAsia="Arial" w:hAnsi="Arial"/>
          <w:sz w:val="13"/>
          <w:szCs w:val="13"/>
          <w:color w:val="auto"/>
        </w:rPr>
        <w:t>The non-GAAP financial measures are not determined in accordance with GAAP and should not be considered a substitute for performance measures determined in accordance with GAAP. The calculations of the non-GAAP financial measures are subjective, based on management’s belief as to which items should be included or excluded in order to provide the most reasonable and comparable view of the underlying operating performance of the business. We may, from time to time, modify the amounts used to determine our non-GAAP financial measures.</w:t>
      </w:r>
    </w:p>
    <w:p>
      <w:pPr>
        <w:spacing w:after="0" w:line="82" w:lineRule="exact"/>
        <w:rPr>
          <w:sz w:val="20"/>
          <w:szCs w:val="20"/>
          <w:color w:val="auto"/>
        </w:rPr>
      </w:pPr>
    </w:p>
    <w:p>
      <w:pPr>
        <w:jc w:val="both"/>
        <w:ind w:left="5" w:right="20"/>
        <w:spacing w:after="0" w:line="254" w:lineRule="auto"/>
        <w:rPr>
          <w:sz w:val="20"/>
          <w:szCs w:val="20"/>
          <w:color w:val="auto"/>
        </w:rPr>
      </w:pPr>
      <w:r>
        <w:rPr>
          <w:rFonts w:ascii="Arial" w:cs="Arial" w:eastAsia="Arial" w:hAnsi="Arial"/>
          <w:sz w:val="13"/>
          <w:szCs w:val="13"/>
          <w:color w:val="auto"/>
        </w:rPr>
        <w:t>We believe that these non-GAAP financial measures better reflect UNIFI’s underlying operations and performance and that their use, as operating performance measures, provides investors and analysts with a measure of operating results unaffected by differences in capital structures, capital investment cycles, and ages of related assets, among otherwise comparable companies.</w:t>
      </w:r>
    </w:p>
    <w:p>
      <w:pPr>
        <w:spacing w:after="0" w:line="86" w:lineRule="exact"/>
        <w:rPr>
          <w:sz w:val="20"/>
          <w:szCs w:val="20"/>
          <w:color w:val="auto"/>
        </w:rPr>
      </w:pPr>
    </w:p>
    <w:p>
      <w:pPr>
        <w:jc w:val="both"/>
        <w:ind w:left="5"/>
        <w:spacing w:after="0" w:line="235" w:lineRule="auto"/>
        <w:rPr>
          <w:sz w:val="20"/>
          <w:szCs w:val="20"/>
          <w:color w:val="auto"/>
        </w:rPr>
      </w:pPr>
      <w:r>
        <w:rPr>
          <w:rFonts w:ascii="Arial" w:cs="Arial" w:eastAsia="Arial" w:hAnsi="Arial"/>
          <w:sz w:val="13"/>
          <w:szCs w:val="13"/>
          <w:color w:val="auto"/>
        </w:rPr>
        <w:t>This press release also includes certain forward-looking information that is not presented in accordance with GAAP. Management believes that a quantitative reconciliation of such forward-looking information to the most directly comparable financial measure calculated and presented in accordance with GAAP cannot be made available without unreasonable efforts because a reconciliation of these non-GAAP financial measures would require UNIFI to predict the timing and likelihood of potential future events such as restructurings, M&amp;A activity, contract modifications, and other infrequent or unusual gains and losses. Neither the timing nor likelihood of these events, nor their probable significance, can be quantified with a reasonable degree of accuracy. Accordingly, a reconciliation of such forward-looking information to the most directly comparable GAAP financial measure is not provided.</w:t>
      </w:r>
    </w:p>
    <w:p>
      <w:pPr>
        <w:spacing w:after="0" w:line="84" w:lineRule="exact"/>
        <w:rPr>
          <w:sz w:val="20"/>
          <w:szCs w:val="20"/>
          <w:color w:val="auto"/>
        </w:rPr>
      </w:pPr>
    </w:p>
    <w:p>
      <w:pPr>
        <w:jc w:val="both"/>
        <w:ind w:left="5"/>
        <w:spacing w:after="0" w:line="234" w:lineRule="auto"/>
        <w:rPr>
          <w:sz w:val="20"/>
          <w:szCs w:val="20"/>
          <w:color w:val="auto"/>
        </w:rPr>
      </w:pPr>
      <w:r>
        <w:rPr>
          <w:rFonts w:ascii="Arial" w:cs="Arial" w:eastAsia="Arial" w:hAnsi="Arial"/>
          <w:sz w:val="13"/>
          <w:szCs w:val="13"/>
          <w:color w:val="auto"/>
        </w:rPr>
        <w:t>Management uses Adjusted EBITDA (i) as a measurement of operating performance because it assists us in comparing our operating performance on a consistent basis, as it removes the impact of (a) items directly related to our asset base (primarily depreciation and amortization) and (b) items that we would not expect to occur as a part of our normal business on a regular basis; (ii) for planning purposes, including the preparation of our annual operating budget; (iii) as a valuation measure for evaluating our operating performance and our capacity to incur and service debt, fund capital expenditures, and expand our business; and (iv) as one measure in determining the value of other acquisitions and dispositions. Adjusted EBITDA is a key performance metric utilized in the determination of variable compensation. We also believe Adjusted EBITDA is an appropriate supplemental measure of debt service capacity, because it serves as a high-level proxy for cash generated from operations.</w:t>
      </w:r>
    </w:p>
    <w:p>
      <w:pPr>
        <w:spacing w:after="0" w:line="83" w:lineRule="exact"/>
        <w:rPr>
          <w:sz w:val="20"/>
          <w:szCs w:val="20"/>
          <w:color w:val="auto"/>
        </w:rPr>
      </w:pPr>
    </w:p>
    <w:p>
      <w:pPr>
        <w:jc w:val="both"/>
        <w:ind w:left="5" w:right="20"/>
        <w:spacing w:after="0" w:line="237" w:lineRule="auto"/>
        <w:rPr>
          <w:sz w:val="20"/>
          <w:szCs w:val="20"/>
          <w:color w:val="auto"/>
        </w:rPr>
      </w:pPr>
      <w:r>
        <w:rPr>
          <w:rFonts w:ascii="Arial" w:cs="Arial" w:eastAsia="Arial" w:hAnsi="Arial"/>
          <w:sz w:val="13"/>
          <w:szCs w:val="13"/>
          <w:color w:val="auto"/>
        </w:rPr>
        <w:t>Management uses Adjusted Net (Loss) Income and Adjusted EPS (i) as measurements of net operating performance because they assist us in comparing such performance on a consistent basis, as they remove the impact of (a) items that we would not expect to occur as a part of our normal business on a regular basis and (b) components of the provision for income taxes that we would not expect to occur as a part of our underlying taxable operations; (ii) for planning purposes, including the preparation of our annual operating budget; and (iii) as measures in determining the value of other acquisitions and dispositions.</w:t>
      </w:r>
    </w:p>
    <w:p>
      <w:pPr>
        <w:spacing w:after="0" w:line="95" w:lineRule="exact"/>
        <w:rPr>
          <w:sz w:val="20"/>
          <w:szCs w:val="20"/>
          <w:color w:val="auto"/>
        </w:rPr>
      </w:pPr>
    </w:p>
    <w:p>
      <w:pPr>
        <w:ind w:left="5"/>
        <w:spacing w:after="0"/>
        <w:rPr>
          <w:sz w:val="20"/>
          <w:szCs w:val="20"/>
          <w:color w:val="auto"/>
        </w:rPr>
      </w:pPr>
      <w:r>
        <w:rPr>
          <w:rFonts w:ascii="Arial" w:cs="Arial" w:eastAsia="Arial" w:hAnsi="Arial"/>
          <w:sz w:val="13"/>
          <w:szCs w:val="13"/>
          <w:color w:val="auto"/>
        </w:rPr>
        <w:t>Management uses Net Debt as a liquidity and leverage metric to determine how much debt would remain if all cash and cash equivalents were used to pay down debt principal.</w:t>
      </w:r>
    </w:p>
    <w:p>
      <w:pPr>
        <w:spacing w:after="0" w:line="111" w:lineRule="exact"/>
        <w:rPr>
          <w:sz w:val="20"/>
          <w:szCs w:val="20"/>
          <w:color w:val="auto"/>
        </w:rPr>
      </w:pPr>
    </w:p>
    <w:p>
      <w:pPr>
        <w:jc w:val="both"/>
        <w:ind w:left="5"/>
        <w:spacing w:after="0" w:line="233" w:lineRule="auto"/>
        <w:rPr>
          <w:sz w:val="20"/>
          <w:szCs w:val="20"/>
          <w:color w:val="auto"/>
        </w:rPr>
      </w:pPr>
      <w:r>
        <w:rPr>
          <w:rFonts w:ascii="Arial" w:cs="Arial" w:eastAsia="Arial" w:hAnsi="Arial"/>
          <w:sz w:val="13"/>
          <w:szCs w:val="13"/>
          <w:color w:val="auto"/>
        </w:rPr>
        <w:t>In evaluating non-GAAP financial measures, investors should be aware that, in the future, we may incur expenses similar to the adjustments included herein. Our presentation of non-GAAP financial measures should not be construed as indicating that our future results will be unaffected by unusual or non-recurring items. Each of our non-GAAP financial measures has limitations as an analytical tool, and investors should not consider it in isolation or as a substitute for analysis of our results or liquidity measures as reported under GAAP. Some of these limitations are (i) it is not adjusted for all non-cash income or expense items that are reflected in our statements of cash flows; (ii) it does not reflect the impact of earnings or charges resulting from matters we consider not indicative of our ongoing operations; (iii) it does not reflect changes in, or cash requirements for, our working capital needs; (iv) it does not reflect the cash requirements necessary to make payments on our debt; (v) it does not reflect our future requirements for capital expenditures or contractual commitments; (vi) it does not reflect limitations on or costs related to transferring earnings from our subsidiaries to us; and (vii) other companies in our industry may calculate this measure differently than we do, limiting its usefulness as a comparative measure.</w:t>
      </w:r>
    </w:p>
    <w:p>
      <w:pPr>
        <w:spacing w:after="0" w:line="84" w:lineRule="exact"/>
        <w:rPr>
          <w:sz w:val="20"/>
          <w:szCs w:val="20"/>
          <w:color w:val="auto"/>
        </w:rPr>
      </w:pPr>
    </w:p>
    <w:p>
      <w:pPr>
        <w:jc w:val="both"/>
        <w:ind w:left="5" w:right="20"/>
        <w:spacing w:after="0" w:line="241" w:lineRule="auto"/>
        <w:rPr>
          <w:sz w:val="20"/>
          <w:szCs w:val="20"/>
          <w:color w:val="auto"/>
        </w:rPr>
      </w:pPr>
      <w:r>
        <w:rPr>
          <w:rFonts w:ascii="Arial" w:cs="Arial" w:eastAsia="Arial" w:hAnsi="Arial"/>
          <w:sz w:val="13"/>
          <w:szCs w:val="13"/>
          <w:color w:val="auto"/>
        </w:rPr>
        <w:t>Because of these limitations, these non-GAAP financial measures should not be considered as a measure of discretionary cash available to us to invest in the growth of our business or as a measure of cash that will be available to us to meet our obligations, including those under our outstanding debt obligations. Investors should compensate for these limitations by relying primarily on our GAAP results and using these measures only as supplemental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780415</wp:posOffset>
            </wp:positionV>
            <wp:extent cx="7174865" cy="406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440" w:right="31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449580</wp:posOffset>
            </wp:positionV>
            <wp:extent cx="1081405" cy="4057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clrChange>
                        <a:clrFrom>
                          <a:srgbClr val="FFFFFF"/>
                        </a:clrFrom>
                        <a:clrTo>
                          <a:srgbClr val="FFFFFF">
                            <a:alpha val="0"/>
                          </a:srgbClr>
                        </a:clrTo>
                      </a:clrChange>
                      <a:extLst>
                        <a:ext uri="{28A0092B-C50C-407E-A947-70E740481C1C}"/>
                      </a:extLst>
                    </a:blip>
                    <a:srcRect/>
                    <a:stretch>
                      <a:fillRect/>
                    </a:stretch>
                  </pic:blipFill>
                  <pic:spPr bwMode="auto">
                    <a:xfrm>
                      <a:off x="0" y="0"/>
                      <a:ext cx="1081405" cy="40576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Cautionary Statement on Forward-Looking Statements</w:t>
      </w:r>
    </w:p>
    <w:p>
      <w:pPr>
        <w:spacing w:after="0" w:line="111" w:lineRule="exact"/>
        <w:rPr>
          <w:sz w:val="20"/>
          <w:szCs w:val="20"/>
          <w:color w:val="auto"/>
        </w:rPr>
      </w:pPr>
    </w:p>
    <w:p>
      <w:pPr>
        <w:jc w:val="both"/>
        <w:spacing w:after="0" w:line="234" w:lineRule="auto"/>
        <w:rPr>
          <w:sz w:val="20"/>
          <w:szCs w:val="20"/>
          <w:color w:val="auto"/>
        </w:rPr>
      </w:pPr>
      <w:r>
        <w:rPr>
          <w:rFonts w:ascii="Arial" w:cs="Arial" w:eastAsia="Arial" w:hAnsi="Arial"/>
          <w:sz w:val="13"/>
          <w:szCs w:val="13"/>
          <w:color w:val="auto"/>
        </w:rPr>
        <w:t>Certain statements included herein contain “forward-looking statements” within the meaning of federal securities laws about the financial condition and results of operations of UNIFI that are based on management’s beliefs, assumptions and expectations about our future economic performance, considering the information currently available to management. An example of such forward-looking statements include, among others, guidance pertaining to our financial outlook. The words “believe,” “may,” “could,” “will,” “should,” “would,” “anticipate,” “plan,” “estimate,” “project,” “expect,” “intend,” “seek,” “strive” and words of similar import, or the negative of such words, identify or signal the presence of forward-looking statements. These statements are not statements of historical fact, and they involve risks and uncertainties that may cause our actual results, performance or financial condition to differ materially from the expectations of future results, performance or financial condition that we express or imply in any forward-looking statement.</w:t>
      </w:r>
    </w:p>
    <w:p>
      <w:pPr>
        <w:spacing w:after="0" w:line="95" w:lineRule="exact"/>
        <w:rPr>
          <w:sz w:val="20"/>
          <w:szCs w:val="20"/>
          <w:color w:val="auto"/>
        </w:rPr>
      </w:pPr>
    </w:p>
    <w:p>
      <w:pPr>
        <w:jc w:val="both"/>
        <w:spacing w:after="0" w:line="231" w:lineRule="auto"/>
        <w:rPr>
          <w:sz w:val="20"/>
          <w:szCs w:val="20"/>
          <w:color w:val="auto"/>
        </w:rPr>
      </w:pPr>
      <w:r>
        <w:rPr>
          <w:rFonts w:ascii="Arial" w:cs="Arial" w:eastAsia="Arial" w:hAnsi="Arial"/>
          <w:sz w:val="13"/>
          <w:szCs w:val="13"/>
          <w:color w:val="auto"/>
        </w:rPr>
        <w:t>Factors that could contribute to such differences include, but are not limited to: the competitive nature of the textile industry and the impact of global competition; changes in the trade regulatory environment and governmental policies and legislation; the availability, sourcing, and pricing of raw materials; general domestic and international economic and industry conditions in markets where UNIFI competes, including economic and political factors over which UNIFI has no control; changes in consumer spending, customer preferences, fashion trends, and end-uses for UNIFI's products; the financial condition of UNIFI’s customers; the loss of a significant customer or brand partner; natural disasters, industrial accidents, power or water shortages, extreme weather conditions, and other disruptions at one of our facilities; the disruption of operations, global demand, or financial performance as a result of catastrophic or extraordinary events, including, but not limited to, epidemics or pandemics; the success of UNIFI’s strategic business initiatives; the volatility of financial and credit markets, including the impacts of counterparty risk (e.g., deposit concentration and recent depositor sentiment and activity); the ability to service indebtedness and fund capital expenditures and strategic business initiatives; the availability of and access to credit on reasonable terms; changes in foreign currency exchange, interest, and inflation rates; fluctuations in production costs; the ability to protect intellectual property; the strength and reputation of our brands; employee relations; the ability to attract, retain, and motivate key employees; the impact of climate change or environmental, health, and safety regulations; and the impact of tax laws, the judicial or administrative interpretations of tax laws, and/or changes in such laws or interpretations.</w:t>
      </w:r>
    </w:p>
    <w:p>
      <w:pPr>
        <w:spacing w:after="0" w:line="99" w:lineRule="exact"/>
        <w:rPr>
          <w:sz w:val="20"/>
          <w:szCs w:val="20"/>
          <w:color w:val="auto"/>
        </w:rPr>
      </w:pPr>
    </w:p>
    <w:p>
      <w:pPr>
        <w:jc w:val="both"/>
        <w:ind w:right="20"/>
        <w:spacing w:after="0" w:line="235" w:lineRule="auto"/>
        <w:rPr>
          <w:sz w:val="20"/>
          <w:szCs w:val="20"/>
          <w:color w:val="auto"/>
        </w:rPr>
      </w:pPr>
      <w:r>
        <w:rPr>
          <w:rFonts w:ascii="Arial" w:cs="Arial" w:eastAsia="Arial" w:hAnsi="Arial"/>
          <w:sz w:val="13"/>
          <w:szCs w:val="13"/>
          <w:color w:val="auto"/>
        </w:rPr>
        <w:t>All such factors are difficult to predict, contain uncertainties that may materially affect actual results and may be beyond our control. New factors emerge from time to time, and it is not possible for management to predict all such factors or to assess the impact of each such factor on UNIFI. Any forward-looking statement speaks only as of the date on which such statement is made, and we do not undertake any obligation to update any forward-looking statement to reflect events or circumstances after the date on which such statement is made, except as may be required by federal securities laws. The above and other risks and uncertainties are described in UNIFI’s most recent Annual Report on Form 10-K, and additional risks or uncertainties may be described from time to time in other reports filed by UNIFI with the Securities and Exchange Commission pursuant to the Securities Exchange Act of 1934, as amended.</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930910</wp:posOffset>
            </wp:positionV>
            <wp:extent cx="7174865" cy="406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3307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535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16775" cy="4353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0551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4"/>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2026-05-05T15:34:12Z</dcterms:created>
  <dcterms:modified xsi:type="dcterms:W3CDTF">2026-05-05T15:34:12Z</dcterms:modified>
</cp:coreProperties>
</file>