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126365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42" w:lineRule="exact"/>
        <w:rPr>
          <w:sz w:val="24"/>
          <w:szCs w:val="24"/>
          <w:color w:val="auto"/>
        </w:rPr>
      </w:pPr>
    </w:p>
    <w:p>
      <w:pPr>
        <w:ind w:left="200"/>
        <w:spacing w:after="0"/>
        <w:rPr>
          <w:sz w:val="20"/>
          <w:szCs w:val="20"/>
          <w:color w:val="auto"/>
        </w:rPr>
      </w:pPr>
      <w:r>
        <w:rPr>
          <w:rFonts w:ascii="Arial" w:cs="Arial" w:eastAsia="Arial" w:hAnsi="Arial"/>
          <w:sz w:val="16"/>
          <w:szCs w:val="16"/>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-115570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ind w:left="3860" w:right="840" w:hanging="3305"/>
        <w:spacing w:after="0" w:line="379" w:lineRule="auto"/>
        <w:tabs>
          <w:tab w:leader="none" w:pos="2091"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 For the quarterly period ended March 29, 2026</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94" w:lineRule="exact"/>
        <w:rPr>
          <w:sz w:val="24"/>
          <w:szCs w:val="24"/>
          <w:color w:val="auto"/>
        </w:rPr>
      </w:pPr>
    </w:p>
    <w:p>
      <w:pPr>
        <w:ind w:left="2100" w:hanging="1545"/>
        <w:spacing w:after="0"/>
        <w:tabs>
          <w:tab w:leader="none" w:pos="210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105" w:lineRule="exact"/>
        <w:rPr>
          <w:sz w:val="24"/>
          <w:szCs w:val="24"/>
          <w:color w:val="auto"/>
        </w:rPr>
      </w:pPr>
    </w:p>
    <w:tbl>
      <w:tblPr>
        <w:tblLayout w:type="fixed"/>
        <w:tblInd w:w="3460" w:type="dxa"/>
        <w:tblCellMar>
          <w:top w:w="0" w:type="dxa"/>
          <w:left w:w="0" w:type="dxa"/>
          <w:bottom w:w="0" w:type="dxa"/>
          <w:right w:w="0" w:type="dxa"/>
        </w:tblCellMar>
      </w:tblPr>
      <w:tr>
        <w:trPr>
          <w:trHeight w:val="184"/>
        </w:trPr>
        <w:tc>
          <w:tcPr>
            <w:tcW w:w="2320" w:type="dxa"/>
            <w:vAlign w:val="bottom"/>
          </w:tcPr>
          <w:p>
            <w:pPr>
              <w:spacing w:after="0"/>
              <w:rPr>
                <w:sz w:val="20"/>
                <w:szCs w:val="20"/>
                <w:color w:val="auto"/>
              </w:rPr>
            </w:pPr>
            <w:r>
              <w:rPr>
                <w:rFonts w:ascii="Arial" w:cs="Arial" w:eastAsia="Arial" w:hAnsi="Arial"/>
                <w:sz w:val="16"/>
                <w:szCs w:val="16"/>
                <w:b w:val="1"/>
                <w:bCs w:val="1"/>
                <w:color w:val="auto"/>
              </w:rPr>
              <w:t>For the transition period from</w:t>
            </w:r>
          </w:p>
        </w:tc>
        <w:tc>
          <w:tcPr>
            <w:tcW w:w="460" w:type="dxa"/>
            <w:vAlign w:val="bottom"/>
            <w:tcBorders>
              <w:bottom w:val="single" w:sz="8" w:color="auto"/>
            </w:tcBorders>
          </w:tcPr>
          <w:p>
            <w:pPr>
              <w:spacing w:after="0"/>
              <w:rPr>
                <w:sz w:val="16"/>
                <w:szCs w:val="16"/>
                <w:color w:val="auto"/>
              </w:rPr>
            </w:pPr>
          </w:p>
        </w:tc>
        <w:tc>
          <w:tcPr>
            <w:tcW w:w="700" w:type="dxa"/>
            <w:vAlign w:val="bottom"/>
          </w:tcPr>
          <w:p>
            <w:pPr>
              <w:ind w:left="40"/>
              <w:spacing w:after="0"/>
              <w:rPr>
                <w:sz w:val="20"/>
                <w:szCs w:val="20"/>
                <w:color w:val="auto"/>
              </w:rPr>
            </w:pPr>
            <w:r>
              <w:rPr>
                <w:rFonts w:ascii="Arial" w:cs="Arial" w:eastAsia="Arial" w:hAnsi="Arial"/>
                <w:sz w:val="16"/>
                <w:szCs w:val="16"/>
                <w:b w:val="1"/>
                <w:bCs w:val="1"/>
                <w:color w:val="auto"/>
                <w:w w:val="99"/>
              </w:rPr>
              <w:t>to _____</w:t>
            </w:r>
          </w:p>
        </w:tc>
      </w:tr>
      <w:tr>
        <w:trPr>
          <w:trHeight w:val="323"/>
        </w:trPr>
        <w:tc>
          <w:tcPr>
            <w:tcW w:w="3480" w:type="dxa"/>
            <w:vAlign w:val="bottom"/>
            <w:gridSpan w:val="3"/>
          </w:tcPr>
          <w:p>
            <w:pPr>
              <w:ind w:left="840"/>
              <w:spacing w:after="0"/>
              <w:rPr>
                <w:sz w:val="20"/>
                <w:szCs w:val="20"/>
                <w:color w:val="auto"/>
              </w:rPr>
            </w:pPr>
            <w:r>
              <w:rPr>
                <w:rFonts w:ascii="Arial" w:cs="Arial" w:eastAsia="Arial" w:hAnsi="Arial"/>
                <w:sz w:val="16"/>
                <w:szCs w:val="16"/>
                <w:b w:val="1"/>
                <w:bCs w:val="1"/>
                <w:color w:val="auto"/>
              </w:rPr>
              <w:t>Commission File Number: 1-10542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107950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3" w:lineRule="exact"/>
        <w:rPr>
          <w:sz w:val="24"/>
          <w:szCs w:val="24"/>
          <w:color w:val="auto"/>
        </w:rPr>
      </w:pPr>
    </w:p>
    <w:tbl>
      <w:tblPr>
        <w:tblLayout w:type="fixed"/>
        <w:tblInd w:w="1660" w:type="dxa"/>
        <w:tblCellMar>
          <w:top w:w="0" w:type="dxa"/>
          <w:left w:w="0" w:type="dxa"/>
          <w:bottom w:w="0" w:type="dxa"/>
          <w:right w:w="0" w:type="dxa"/>
        </w:tblCellMar>
      </w:tblPr>
      <w:tr>
        <w:trPr>
          <w:trHeight w:val="443"/>
        </w:trPr>
        <w:tc>
          <w:tcPr>
            <w:tcW w:w="2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40" w:type="dxa"/>
            <w:vAlign w:val="bottom"/>
            <w:gridSpan w:val="2"/>
          </w:tcPr>
          <w:p>
            <w:pPr>
              <w:jc w:val="center"/>
              <w:ind w:right="2126"/>
              <w:spacing w:after="0"/>
              <w:rPr>
                <w:sz w:val="20"/>
                <w:szCs w:val="20"/>
                <w:color w:val="auto"/>
              </w:rPr>
            </w:pPr>
            <w:r>
              <w:rPr>
                <w:rFonts w:ascii="Arial" w:cs="Arial" w:eastAsia="Arial" w:hAnsi="Arial"/>
                <w:sz w:val="36"/>
                <w:szCs w:val="36"/>
                <w:b w:val="1"/>
                <w:bCs w:val="1"/>
                <w:color w:val="auto"/>
                <w:w w:val="99"/>
              </w:rPr>
              <w:t>UNIFI, INC.</w:t>
            </w:r>
          </w:p>
        </w:tc>
      </w:tr>
      <w:tr>
        <w:trPr>
          <w:trHeight w:val="148"/>
        </w:trPr>
        <w:tc>
          <w:tcPr>
            <w:tcW w:w="2400" w:type="dxa"/>
            <w:vAlign w:val="bottom"/>
          </w:tcPr>
          <w:p>
            <w:pPr>
              <w:spacing w:after="0"/>
              <w:rPr>
                <w:sz w:val="12"/>
                <w:szCs w:val="12"/>
                <w:color w:val="auto"/>
              </w:rPr>
            </w:pPr>
          </w:p>
        </w:tc>
        <w:tc>
          <w:tcPr>
            <w:tcW w:w="4880" w:type="dxa"/>
            <w:vAlign w:val="bottom"/>
            <w:gridSpan w:val="3"/>
          </w:tcPr>
          <w:p>
            <w:pPr>
              <w:jc w:val="center"/>
              <w:ind w:right="1686"/>
              <w:spacing w:after="0"/>
              <w:rPr>
                <w:sz w:val="20"/>
                <w:szCs w:val="20"/>
                <w:color w:val="auto"/>
              </w:rPr>
            </w:pPr>
            <w:r>
              <w:rPr>
                <w:rFonts w:ascii="Arial" w:cs="Arial" w:eastAsia="Arial" w:hAnsi="Arial"/>
                <w:sz w:val="11"/>
                <w:szCs w:val="11"/>
                <w:b w:val="1"/>
                <w:bCs w:val="1"/>
                <w:color w:val="auto"/>
                <w:w w:val="98"/>
              </w:rPr>
              <w:t>(Exact name of registrant as specified in its charter)</w:t>
            </w:r>
          </w:p>
        </w:tc>
      </w:tr>
      <w:tr>
        <w:trPr>
          <w:trHeight w:val="163"/>
        </w:trPr>
        <w:tc>
          <w:tcPr>
            <w:tcW w:w="2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40" w:type="dxa"/>
            <w:vAlign w:val="bottom"/>
            <w:tcBorders>
              <w:bottom w:val="single" w:sz="8" w:color="auto"/>
            </w:tcBorders>
          </w:tcPr>
          <w:p>
            <w:pPr>
              <w:spacing w:after="0"/>
              <w:rPr>
                <w:sz w:val="14"/>
                <w:szCs w:val="14"/>
                <w:color w:val="auto"/>
              </w:rPr>
            </w:pPr>
          </w:p>
        </w:tc>
        <w:tc>
          <w:tcPr>
            <w:tcW w:w="2200" w:type="dxa"/>
            <w:vAlign w:val="bottom"/>
          </w:tcPr>
          <w:p>
            <w:pPr>
              <w:spacing w:after="0"/>
              <w:rPr>
                <w:sz w:val="14"/>
                <w:szCs w:val="14"/>
                <w:color w:val="auto"/>
              </w:rPr>
            </w:pPr>
          </w:p>
        </w:tc>
      </w:tr>
      <w:tr>
        <w:trPr>
          <w:trHeight w:val="358"/>
        </w:trPr>
        <w:tc>
          <w:tcPr>
            <w:tcW w:w="2400" w:type="dxa"/>
            <w:vAlign w:val="bottom"/>
          </w:tcPr>
          <w:p>
            <w:pPr>
              <w:jc w:val="center"/>
              <w:ind w:right="113"/>
              <w:spacing w:after="0"/>
              <w:rPr>
                <w:sz w:val="20"/>
                <w:szCs w:val="20"/>
                <w:color w:val="auto"/>
              </w:rPr>
            </w:pPr>
            <w:r>
              <w:rPr>
                <w:rFonts w:ascii="Arial" w:cs="Arial" w:eastAsia="Arial" w:hAnsi="Arial"/>
                <w:sz w:val="16"/>
                <w:szCs w:val="16"/>
                <w:b w:val="1"/>
                <w:bCs w:val="1"/>
                <w:color w:val="auto"/>
              </w:rPr>
              <w:t>New York</w:t>
            </w:r>
          </w:p>
        </w:tc>
        <w:tc>
          <w:tcPr>
            <w:tcW w:w="4880" w:type="dxa"/>
            <w:vAlign w:val="bottom"/>
            <w:gridSpan w:val="3"/>
          </w:tcPr>
          <w:p>
            <w:pPr>
              <w:jc w:val="right"/>
              <w:spacing w:after="0"/>
              <w:rPr>
                <w:sz w:val="20"/>
                <w:szCs w:val="20"/>
                <w:color w:val="auto"/>
              </w:rPr>
            </w:pPr>
            <w:r>
              <w:rPr>
                <w:rFonts w:ascii="Arial" w:cs="Arial" w:eastAsia="Arial" w:hAnsi="Arial"/>
                <w:sz w:val="16"/>
                <w:szCs w:val="16"/>
                <w:b w:val="1"/>
                <w:bCs w:val="1"/>
                <w:color w:val="auto"/>
              </w:rPr>
              <w:t>11-2165495</w:t>
            </w:r>
          </w:p>
        </w:tc>
      </w:tr>
      <w:tr>
        <w:trPr>
          <w:trHeight w:val="121"/>
        </w:trPr>
        <w:tc>
          <w:tcPr>
            <w:tcW w:w="2400" w:type="dxa"/>
            <w:vAlign w:val="bottom"/>
          </w:tcPr>
          <w:p>
            <w:pPr>
              <w:jc w:val="center"/>
              <w:ind w:right="133"/>
              <w:spacing w:after="0" w:line="122" w:lineRule="exact"/>
              <w:rPr>
                <w:sz w:val="20"/>
                <w:szCs w:val="20"/>
                <w:color w:val="auto"/>
              </w:rPr>
            </w:pPr>
            <w:r>
              <w:rPr>
                <w:rFonts w:ascii="Arial" w:cs="Arial" w:eastAsia="Arial" w:hAnsi="Arial"/>
                <w:sz w:val="11"/>
                <w:szCs w:val="11"/>
                <w:b w:val="1"/>
                <w:bCs w:val="1"/>
                <w:color w:val="auto"/>
                <w:w w:val="98"/>
              </w:rPr>
              <w:t>(State or other jurisdiction of</w:t>
            </w:r>
          </w:p>
        </w:tc>
        <w:tc>
          <w:tcPr>
            <w:tcW w:w="4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2200" w:type="dxa"/>
            <w:vAlign w:val="bottom"/>
          </w:tcPr>
          <w:p>
            <w:pPr>
              <w:jc w:val="center"/>
              <w:ind w:left="1246"/>
              <w:spacing w:after="0" w:line="122" w:lineRule="exact"/>
              <w:rPr>
                <w:sz w:val="20"/>
                <w:szCs w:val="20"/>
                <w:color w:val="auto"/>
              </w:rPr>
            </w:pPr>
            <w:r>
              <w:rPr>
                <w:rFonts w:ascii="Arial" w:cs="Arial" w:eastAsia="Arial" w:hAnsi="Arial"/>
                <w:sz w:val="11"/>
                <w:szCs w:val="11"/>
                <w:b w:val="1"/>
                <w:bCs w:val="1"/>
                <w:color w:val="auto"/>
                <w:w w:val="97"/>
              </w:rPr>
              <w:t>(I.R.S. Employer</w:t>
            </w:r>
          </w:p>
        </w:tc>
      </w:tr>
      <w:tr>
        <w:trPr>
          <w:trHeight w:val="148"/>
        </w:trPr>
        <w:tc>
          <w:tcPr>
            <w:tcW w:w="2400" w:type="dxa"/>
            <w:vAlign w:val="bottom"/>
          </w:tcPr>
          <w:p>
            <w:pPr>
              <w:jc w:val="center"/>
              <w:ind w:right="113"/>
              <w:spacing w:after="0"/>
              <w:rPr>
                <w:sz w:val="20"/>
                <w:szCs w:val="20"/>
                <w:color w:val="auto"/>
              </w:rPr>
            </w:pPr>
            <w:r>
              <w:rPr>
                <w:rFonts w:ascii="Arial" w:cs="Arial" w:eastAsia="Arial" w:hAnsi="Arial"/>
                <w:sz w:val="11"/>
                <w:szCs w:val="11"/>
                <w:b w:val="1"/>
                <w:bCs w:val="1"/>
                <w:color w:val="auto"/>
                <w:w w:val="98"/>
              </w:rPr>
              <w:t>incorporation or organization)</w:t>
            </w:r>
          </w:p>
        </w:tc>
        <w:tc>
          <w:tcPr>
            <w:tcW w:w="4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00" w:type="dxa"/>
            <w:vAlign w:val="bottom"/>
          </w:tcPr>
          <w:p>
            <w:pPr>
              <w:jc w:val="center"/>
              <w:ind w:left="1246"/>
              <w:spacing w:after="0"/>
              <w:rPr>
                <w:sz w:val="20"/>
                <w:szCs w:val="20"/>
                <w:color w:val="auto"/>
              </w:rPr>
            </w:pPr>
            <w:r>
              <w:rPr>
                <w:rFonts w:ascii="Arial" w:cs="Arial" w:eastAsia="Arial" w:hAnsi="Arial"/>
                <w:sz w:val="11"/>
                <w:szCs w:val="11"/>
                <w:b w:val="1"/>
                <w:bCs w:val="1"/>
                <w:color w:val="auto"/>
                <w:w w:val="96"/>
              </w:rPr>
              <w:t>Identification No.)</w:t>
            </w:r>
          </w:p>
        </w:tc>
      </w:tr>
      <w:tr>
        <w:trPr>
          <w:trHeight w:val="283"/>
        </w:trPr>
        <w:tc>
          <w:tcPr>
            <w:tcW w:w="2400" w:type="dxa"/>
            <w:vAlign w:val="bottom"/>
          </w:tcPr>
          <w:p>
            <w:pPr>
              <w:jc w:val="center"/>
              <w:ind w:right="113"/>
              <w:spacing w:after="0"/>
              <w:rPr>
                <w:sz w:val="20"/>
                <w:szCs w:val="20"/>
                <w:color w:val="auto"/>
              </w:rPr>
            </w:pPr>
            <w:r>
              <w:rPr>
                <w:rFonts w:ascii="Arial" w:cs="Arial" w:eastAsia="Arial" w:hAnsi="Arial"/>
                <w:sz w:val="16"/>
                <w:szCs w:val="16"/>
                <w:b w:val="1"/>
                <w:bCs w:val="1"/>
                <w:color w:val="auto"/>
              </w:rPr>
              <w:t>7201 West Friendly Avenue</w:t>
            </w:r>
          </w:p>
        </w:tc>
        <w:tc>
          <w:tcPr>
            <w:tcW w:w="4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23"/>
        </w:trPr>
        <w:tc>
          <w:tcPr>
            <w:tcW w:w="2400" w:type="dxa"/>
            <w:vAlign w:val="bottom"/>
          </w:tcPr>
          <w:p>
            <w:pPr>
              <w:spacing w:after="0"/>
              <w:rPr>
                <w:sz w:val="20"/>
                <w:szCs w:val="20"/>
                <w:color w:val="auto"/>
              </w:rPr>
            </w:pPr>
            <w:r>
              <w:rPr>
                <w:rFonts w:ascii="Arial" w:cs="Arial" w:eastAsia="Arial" w:hAnsi="Arial"/>
                <w:sz w:val="16"/>
                <w:szCs w:val="16"/>
                <w:b w:val="1"/>
                <w:bCs w:val="1"/>
                <w:color w:val="auto"/>
              </w:rPr>
              <w:t>Greensboro, North Carolina</w:t>
            </w:r>
          </w:p>
        </w:tc>
        <w:tc>
          <w:tcPr>
            <w:tcW w:w="4880" w:type="dxa"/>
            <w:vAlign w:val="bottom"/>
            <w:gridSpan w:val="3"/>
          </w:tcPr>
          <w:p>
            <w:pPr>
              <w:jc w:val="right"/>
              <w:ind w:right="166"/>
              <w:spacing w:after="0"/>
              <w:rPr>
                <w:sz w:val="20"/>
                <w:szCs w:val="20"/>
                <w:color w:val="auto"/>
              </w:rPr>
            </w:pPr>
            <w:r>
              <w:rPr>
                <w:rFonts w:ascii="Arial" w:cs="Arial" w:eastAsia="Arial" w:hAnsi="Arial"/>
                <w:sz w:val="16"/>
                <w:szCs w:val="16"/>
                <w:b w:val="1"/>
                <w:bCs w:val="1"/>
                <w:color w:val="auto"/>
              </w:rPr>
              <w:t>27410</w:t>
            </w:r>
          </w:p>
        </w:tc>
      </w:tr>
      <w:tr>
        <w:trPr>
          <w:trHeight w:val="183"/>
        </w:trPr>
        <w:tc>
          <w:tcPr>
            <w:tcW w:w="2400" w:type="dxa"/>
            <w:vAlign w:val="bottom"/>
          </w:tcPr>
          <w:p>
            <w:pPr>
              <w:jc w:val="center"/>
              <w:ind w:right="113"/>
              <w:spacing w:after="0"/>
              <w:rPr>
                <w:sz w:val="20"/>
                <w:szCs w:val="20"/>
                <w:color w:val="auto"/>
              </w:rPr>
            </w:pPr>
            <w:r>
              <w:rPr>
                <w:rFonts w:ascii="Arial" w:cs="Arial" w:eastAsia="Arial" w:hAnsi="Arial"/>
                <w:sz w:val="11"/>
                <w:szCs w:val="11"/>
                <w:b w:val="1"/>
                <w:bCs w:val="1"/>
                <w:color w:val="auto"/>
                <w:w w:val="98"/>
              </w:rPr>
              <w:t>(Address of principal executive offices)</w:t>
            </w:r>
          </w:p>
        </w:tc>
        <w:tc>
          <w:tcPr>
            <w:tcW w:w="4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200" w:type="dxa"/>
            <w:vAlign w:val="bottom"/>
          </w:tcPr>
          <w:p>
            <w:pPr>
              <w:jc w:val="center"/>
              <w:ind w:left="1246"/>
              <w:spacing w:after="0"/>
              <w:rPr>
                <w:sz w:val="20"/>
                <w:szCs w:val="20"/>
                <w:color w:val="auto"/>
              </w:rPr>
            </w:pPr>
            <w:r>
              <w:rPr>
                <w:rFonts w:ascii="Arial" w:cs="Arial" w:eastAsia="Arial" w:hAnsi="Arial"/>
                <w:sz w:val="11"/>
                <w:szCs w:val="11"/>
                <w:b w:val="1"/>
                <w:bCs w:val="1"/>
                <w:color w:val="auto"/>
                <w:w w:val="99"/>
              </w:rPr>
              <w:t>(Zip Code)</w:t>
            </w:r>
          </w:p>
        </w:tc>
      </w:tr>
      <w:tr>
        <w:trPr>
          <w:trHeight w:val="281"/>
        </w:trPr>
        <w:tc>
          <w:tcPr>
            <w:tcW w:w="2400" w:type="dxa"/>
            <w:vAlign w:val="bottom"/>
          </w:tcPr>
          <w:p>
            <w:pPr>
              <w:spacing w:after="0"/>
              <w:rPr>
                <w:sz w:val="24"/>
                <w:szCs w:val="24"/>
                <w:color w:val="auto"/>
              </w:rPr>
            </w:pPr>
          </w:p>
        </w:tc>
        <w:tc>
          <w:tcPr>
            <w:tcW w:w="2680" w:type="dxa"/>
            <w:vAlign w:val="bottom"/>
            <w:gridSpan w:val="2"/>
          </w:tcPr>
          <w:p>
            <w:pPr>
              <w:jc w:val="center"/>
              <w:ind w:left="386"/>
              <w:spacing w:after="0"/>
              <w:rPr>
                <w:sz w:val="20"/>
                <w:szCs w:val="20"/>
                <w:color w:val="auto"/>
              </w:rPr>
            </w:pPr>
            <w:r>
              <w:rPr>
                <w:rFonts w:ascii="Arial" w:cs="Arial" w:eastAsia="Arial" w:hAnsi="Arial"/>
                <w:sz w:val="16"/>
                <w:szCs w:val="16"/>
                <w:b w:val="1"/>
                <w:bCs w:val="1"/>
                <w:color w:val="auto"/>
              </w:rPr>
              <w:t>(336) 294-4410</w:t>
            </w:r>
          </w:p>
        </w:tc>
        <w:tc>
          <w:tcPr>
            <w:tcW w:w="2200" w:type="dxa"/>
            <w:vAlign w:val="bottom"/>
          </w:tcPr>
          <w:p>
            <w:pPr>
              <w:spacing w:after="0"/>
              <w:rPr>
                <w:sz w:val="24"/>
                <w:szCs w:val="24"/>
                <w:color w:val="auto"/>
              </w:rPr>
            </w:pPr>
          </w:p>
        </w:tc>
      </w:tr>
    </w:tbl>
    <w:p>
      <w:pPr>
        <w:jc w:val="center"/>
        <w:ind w:right="-19"/>
        <w:spacing w:after="0"/>
        <w:rPr>
          <w:sz w:val="20"/>
          <w:szCs w:val="20"/>
          <w:color w:val="auto"/>
        </w:rPr>
      </w:pPr>
      <w:r>
        <w:rPr>
          <w:rFonts w:ascii="Arial" w:cs="Arial" w:eastAsia="Arial" w:hAnsi="Arial"/>
          <w:sz w:val="11"/>
          <w:szCs w:val="11"/>
          <w:b w:val="1"/>
          <w:bCs w:val="1"/>
          <w:color w:val="auto"/>
        </w:rPr>
        <w:t>(Registrant’s telephone number, including area code)</w:t>
      </w:r>
    </w:p>
    <w:p>
      <w:pPr>
        <w:spacing w:after="0" w:line="173"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22" w:lineRule="exact"/>
        <w:rPr>
          <w:sz w:val="24"/>
          <w:szCs w:val="24"/>
          <w:color w:val="auto"/>
        </w:rPr>
      </w:pPr>
    </w:p>
    <w:tbl>
      <w:tblPr>
        <w:tblLayout w:type="fixed"/>
        <w:tblInd w:w="520" w:type="dxa"/>
        <w:tblCellMar>
          <w:top w:w="0" w:type="dxa"/>
          <w:left w:w="0" w:type="dxa"/>
          <w:bottom w:w="0" w:type="dxa"/>
          <w:right w:w="0" w:type="dxa"/>
        </w:tblCellMar>
      </w:tblPr>
      <w:tr>
        <w:trPr>
          <w:trHeight w:val="126"/>
        </w:trPr>
        <w:tc>
          <w:tcPr>
            <w:tcW w:w="880" w:type="dxa"/>
            <w:vAlign w:val="bottom"/>
          </w:tcPr>
          <w:p>
            <w:pPr>
              <w:spacing w:after="0"/>
              <w:rPr>
                <w:sz w:val="10"/>
                <w:szCs w:val="10"/>
                <w:color w:val="auto"/>
              </w:rPr>
            </w:pPr>
          </w:p>
        </w:tc>
        <w:tc>
          <w:tcPr>
            <w:tcW w:w="9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97"/>
              </w:rPr>
              <w:t>Title of each class</w:t>
            </w:r>
          </w:p>
        </w:tc>
        <w:tc>
          <w:tcPr>
            <w:tcW w:w="18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Trading Symbol(s)</w:t>
            </w:r>
          </w:p>
        </w:tc>
        <w:tc>
          <w:tcPr>
            <w:tcW w:w="2120" w:type="dxa"/>
            <w:vAlign w:val="bottom"/>
          </w:tcPr>
          <w:p>
            <w:pPr>
              <w:spacing w:after="0"/>
              <w:rPr>
                <w:sz w:val="10"/>
                <w:szCs w:val="10"/>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Name of each exchange on which registered</w:t>
            </w:r>
          </w:p>
        </w:tc>
      </w:tr>
      <w:tr>
        <w:trPr>
          <w:trHeight w:val="184"/>
        </w:trPr>
        <w:tc>
          <w:tcPr>
            <w:tcW w:w="1820" w:type="dxa"/>
            <w:vAlign w:val="bottom"/>
            <w:gridSpan w:val="2"/>
          </w:tcPr>
          <w:p>
            <w:pPr>
              <w:spacing w:after="0"/>
              <w:rPr>
                <w:sz w:val="20"/>
                <w:szCs w:val="20"/>
                <w:color w:val="auto"/>
              </w:rPr>
            </w:pPr>
            <w:r>
              <w:rPr>
                <w:rFonts w:ascii="Arial" w:cs="Arial" w:eastAsia="Arial" w:hAnsi="Arial"/>
                <w:sz w:val="14"/>
                <w:szCs w:val="14"/>
                <w:color w:val="auto"/>
              </w:rPr>
              <w:t>Common Stock, par value $</w:t>
            </w:r>
          </w:p>
        </w:tc>
        <w:tc>
          <w:tcPr>
            <w:tcW w:w="1800" w:type="dxa"/>
            <w:vAlign w:val="bottom"/>
          </w:tcPr>
          <w:p>
            <w:pPr>
              <w:spacing w:after="0"/>
              <w:rPr>
                <w:sz w:val="20"/>
                <w:szCs w:val="20"/>
                <w:color w:val="auto"/>
              </w:rPr>
            </w:pPr>
            <w:r>
              <w:rPr>
                <w:rFonts w:ascii="Arial" w:cs="Arial" w:eastAsia="Arial" w:hAnsi="Arial"/>
                <w:sz w:val="14"/>
                <w:szCs w:val="14"/>
                <w:color w:val="auto"/>
              </w:rPr>
              <w:t>0.10 per share</w:t>
            </w:r>
          </w:p>
        </w:tc>
        <w:tc>
          <w:tcPr>
            <w:tcW w:w="920" w:type="dxa"/>
            <w:vAlign w:val="bottom"/>
          </w:tcPr>
          <w:p>
            <w:pPr>
              <w:spacing w:after="0"/>
              <w:rPr>
                <w:sz w:val="15"/>
                <w:szCs w:val="15"/>
                <w:color w:val="auto"/>
              </w:rPr>
            </w:pPr>
          </w:p>
        </w:tc>
        <w:tc>
          <w:tcPr>
            <w:tcW w:w="3080" w:type="dxa"/>
            <w:vAlign w:val="bottom"/>
            <w:gridSpan w:val="2"/>
          </w:tcPr>
          <w:p>
            <w:pPr>
              <w:jc w:val="center"/>
              <w:ind w:right="2120"/>
              <w:spacing w:after="0"/>
              <w:rPr>
                <w:sz w:val="20"/>
                <w:szCs w:val="20"/>
                <w:color w:val="auto"/>
              </w:rPr>
            </w:pPr>
            <w:r>
              <w:rPr>
                <w:rFonts w:ascii="Arial" w:cs="Arial" w:eastAsia="Arial" w:hAnsi="Arial"/>
                <w:sz w:val="14"/>
                <w:szCs w:val="14"/>
                <w:color w:val="auto"/>
              </w:rPr>
              <w:t>UFI</w:t>
            </w:r>
          </w:p>
        </w:tc>
        <w:tc>
          <w:tcPr>
            <w:tcW w:w="2280" w:type="dxa"/>
            <w:vAlign w:val="bottom"/>
          </w:tcPr>
          <w:p>
            <w:pPr>
              <w:jc w:val="center"/>
              <w:spacing w:after="0"/>
              <w:rPr>
                <w:sz w:val="20"/>
                <w:szCs w:val="20"/>
                <w:color w:val="auto"/>
              </w:rPr>
            </w:pPr>
            <w:r>
              <w:rPr>
                <w:rFonts w:ascii="Arial" w:cs="Arial" w:eastAsia="Arial" w:hAnsi="Arial"/>
                <w:sz w:val="14"/>
                <w:szCs w:val="14"/>
                <w:color w:val="auto"/>
              </w:rPr>
              <w:t>New York Stock Exchange</w:t>
            </w:r>
          </w:p>
        </w:tc>
      </w:tr>
    </w:tbl>
    <w:p>
      <w:pPr>
        <w:spacing w:after="0" w:line="120" w:lineRule="exact"/>
        <w:rPr>
          <w:sz w:val="24"/>
          <w:szCs w:val="24"/>
          <w:color w:val="auto"/>
        </w:rPr>
      </w:pPr>
    </w:p>
    <w:p>
      <w:pPr>
        <w:jc w:val="both"/>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p>
    <w:p>
      <w:pPr>
        <w:jc w:val="both"/>
        <w:spacing w:after="0" w:line="205"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p>
    <w:p>
      <w:pPr>
        <w:jc w:val="both"/>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272"/>
        </w:trPr>
        <w:tc>
          <w:tcPr>
            <w:tcW w:w="19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2960"/>
              <w:spacing w:after="0"/>
              <w:rPr>
                <w:sz w:val="20"/>
                <w:szCs w:val="20"/>
                <w:color w:val="auto"/>
              </w:rPr>
            </w:pPr>
            <w:r>
              <w:rPr>
                <w:rFonts w:ascii="Arial" w:cs="Arial" w:eastAsia="Arial" w:hAnsi="Arial"/>
                <w:sz w:val="16"/>
                <w:szCs w:val="16"/>
                <w:color w:val="auto"/>
              </w:rPr>
              <w:t>Accelerated filer</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78"/>
        </w:trPr>
        <w:tc>
          <w:tcPr>
            <w:tcW w:w="198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2960"/>
              <w:spacing w:after="0"/>
              <w:rPr>
                <w:sz w:val="20"/>
                <w:szCs w:val="20"/>
                <w:color w:val="auto"/>
              </w:rPr>
            </w:pPr>
            <w:r>
              <w:rPr>
                <w:rFonts w:ascii="Arial" w:cs="Arial" w:eastAsia="Arial" w:hAnsi="Arial"/>
                <w:sz w:val="16"/>
                <w:szCs w:val="16"/>
                <w:color w:val="auto"/>
              </w:rPr>
              <w:t>Smaller reporting company</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78"/>
        </w:trPr>
        <w:tc>
          <w:tcPr>
            <w:tcW w:w="19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5160" w:type="dxa"/>
            <w:vAlign w:val="bottom"/>
          </w:tcPr>
          <w:p>
            <w:pPr>
              <w:ind w:left="2960"/>
              <w:spacing w:after="0"/>
              <w:rPr>
                <w:sz w:val="20"/>
                <w:szCs w:val="20"/>
                <w:color w:val="auto"/>
              </w:rPr>
            </w:pPr>
            <w:r>
              <w:rPr>
                <w:rFonts w:ascii="Arial" w:cs="Arial" w:eastAsia="Arial" w:hAnsi="Arial"/>
                <w:sz w:val="16"/>
                <w:szCs w:val="16"/>
                <w:color w:val="auto"/>
              </w:rPr>
              <w:t>Emerging growth company</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33" w:lineRule="exact"/>
        <w:rPr>
          <w:sz w:val="24"/>
          <w:szCs w:val="24"/>
          <w:color w:val="auto"/>
        </w:rPr>
      </w:pPr>
    </w:p>
    <w:p>
      <w:pPr>
        <w:ind w:right="2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tabs>
          <w:tab w:leader="none" w:pos="8260" w:val="left"/>
          <w:tab w:leader="none" w:pos="89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14" w:lineRule="exact"/>
        <w:rPr>
          <w:sz w:val="24"/>
          <w:szCs w:val="24"/>
          <w:color w:val="auto"/>
        </w:rPr>
      </w:pPr>
    </w:p>
    <w:p>
      <w:pPr>
        <w:spacing w:after="0"/>
        <w:rPr>
          <w:sz w:val="20"/>
          <w:szCs w:val="20"/>
          <w:color w:val="auto"/>
        </w:rPr>
      </w:pPr>
      <w:r>
        <w:rPr>
          <w:rFonts w:ascii="Arial" w:cs="Arial" w:eastAsia="Arial" w:hAnsi="Arial"/>
          <w:sz w:val="16"/>
          <w:szCs w:val="16"/>
          <w:color w:val="auto"/>
        </w:rPr>
        <w:t>As of May 1, 2026, there were 18,587,254 shares of the registrant’s common stock, par value $0.10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1002665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31"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5"/>
          <w:szCs w:val="15"/>
          <w:b w:val="1"/>
          <w:bCs w:val="1"/>
          <w:color w:val="auto"/>
        </w:rPr>
        <w:t>FORWARD-LOOKING STATEMENTS</w:t>
      </w:r>
    </w:p>
    <w:p>
      <w:pPr>
        <w:spacing w:after="0" w:line="100" w:lineRule="exact"/>
        <w:rPr>
          <w:sz w:val="20"/>
          <w:szCs w:val="20"/>
          <w:color w:val="auto"/>
        </w:rPr>
      </w:pPr>
    </w:p>
    <w:p>
      <w:pPr>
        <w:jc w:val="both"/>
        <w:spacing w:after="0" w:line="231" w:lineRule="auto"/>
        <w:rPr>
          <w:sz w:val="20"/>
          <w:szCs w:val="20"/>
          <w:color w:val="auto"/>
        </w:rPr>
      </w:pPr>
      <w:r>
        <w:rPr>
          <w:rFonts w:ascii="Arial" w:cs="Arial" w:eastAsia="Arial" w:hAnsi="Arial"/>
          <w:sz w:val="15"/>
          <w:szCs w:val="15"/>
          <w:color w:val="auto"/>
        </w:rPr>
        <w:t>This Quarterly Report on Form 10-Q contains “forward-looking statements” within the meaning of Section 27A of the Securities Act of 1933, as amended, and Section 21E of the Securities Exchange Act of 1934, as amended, that relate to our plans, objectives, estimates, and goals. Statements expressing expectations regarding our future, or projections or estimates relating to products, sales, revenues, expenditures, costs, strategies, initiatives, or earnings, are typical of such statements and are made under the Private Securities Litigation Reform Act of 1995. Forward-looking statements are based on management’s beliefs, assumptions, and expectations about our future performance, considering the information currently available to management. The words “believe,” “may,” “could,” “will,” “should,” “would,” “anticipate,” “plan,” “estimate,” “project,” “expect,” “intend,” “seek,” “strive,” and words of similar import, or the negative of such words, identify or signal the presence of forward-looking statements. These statements are not statements of historical fact; they involve risks and uncertainties that may cause our actual results, performance, or financial condition to differ materially from the expectations of future results, performance, or financial condition that we express or imply in any forward-looking statement. Factors that could contribute to such differences include, but are not limited to:</w:t>
      </w:r>
    </w:p>
    <w:p>
      <w:pPr>
        <w:spacing w:after="0" w:line="72" w:lineRule="exact"/>
        <w:rPr>
          <w:sz w:val="20"/>
          <w:szCs w:val="20"/>
          <w:color w:val="auto"/>
        </w:rPr>
      </w:pPr>
    </w:p>
    <w:p>
      <w:pPr>
        <w:ind w:left="760" w:hanging="190"/>
        <w:spacing w:after="0"/>
        <w:tabs>
          <w:tab w:leader="none" w:pos="760" w:val="left"/>
        </w:tabs>
        <w:numPr>
          <w:ilvl w:val="0"/>
          <w:numId w:val="3"/>
        </w:numPr>
        <w:rPr>
          <w:rFonts w:ascii="Times New Roman" w:cs="Times New Roman" w:eastAsia="Times New Roman" w:hAnsi="Times New Roman"/>
          <w:sz w:val="15"/>
          <w:szCs w:val="15"/>
          <w:color w:val="auto"/>
        </w:rPr>
      </w:pPr>
      <w:r>
        <w:rPr>
          <w:rFonts w:ascii="Arial" w:cs="Arial" w:eastAsia="Arial" w:hAnsi="Arial"/>
          <w:sz w:val="15"/>
          <w:szCs w:val="15"/>
          <w:color w:val="auto"/>
        </w:rPr>
        <w:t>the competitive nature of the textile industry and the impact of global competition;</w:t>
      </w:r>
    </w:p>
    <w:p>
      <w:pPr>
        <w:spacing w:after="0" w:line="96" w:lineRule="exact"/>
        <w:rPr>
          <w:rFonts w:ascii="Times New Roman" w:cs="Times New Roman" w:eastAsia="Times New Roman" w:hAnsi="Times New Roman"/>
          <w:sz w:val="15"/>
          <w:szCs w:val="15"/>
          <w:color w:val="auto"/>
        </w:rPr>
      </w:pPr>
    </w:p>
    <w:p>
      <w:pPr>
        <w:ind w:left="760" w:hanging="190"/>
        <w:spacing w:after="0"/>
        <w:tabs>
          <w:tab w:leader="none" w:pos="760" w:val="left"/>
        </w:tabs>
        <w:numPr>
          <w:ilvl w:val="0"/>
          <w:numId w:val="3"/>
        </w:numPr>
        <w:rPr>
          <w:rFonts w:ascii="Times New Roman" w:cs="Times New Roman" w:eastAsia="Times New Roman" w:hAnsi="Times New Roman"/>
          <w:sz w:val="15"/>
          <w:szCs w:val="15"/>
          <w:color w:val="auto"/>
        </w:rPr>
      </w:pPr>
      <w:r>
        <w:rPr>
          <w:rFonts w:ascii="Arial" w:cs="Arial" w:eastAsia="Arial" w:hAnsi="Arial"/>
          <w:sz w:val="15"/>
          <w:szCs w:val="15"/>
          <w:color w:val="auto"/>
        </w:rPr>
        <w:t>changes in the trade regulatory environment, governmental policies and legislation (e.g., tariffs) and sustained disruption of government operations;</w:t>
      </w:r>
    </w:p>
    <w:p>
      <w:pPr>
        <w:spacing w:after="0" w:line="96" w:lineRule="exact"/>
        <w:rPr>
          <w:rFonts w:ascii="Times New Roman" w:cs="Times New Roman" w:eastAsia="Times New Roman" w:hAnsi="Times New Roman"/>
          <w:sz w:val="15"/>
          <w:szCs w:val="15"/>
          <w:color w:val="auto"/>
        </w:rPr>
      </w:pPr>
    </w:p>
    <w:p>
      <w:pPr>
        <w:ind w:left="760" w:hanging="190"/>
        <w:spacing w:after="0"/>
        <w:tabs>
          <w:tab w:leader="none" w:pos="760" w:val="left"/>
        </w:tabs>
        <w:numPr>
          <w:ilvl w:val="0"/>
          <w:numId w:val="3"/>
        </w:numPr>
        <w:rPr>
          <w:rFonts w:ascii="Times New Roman" w:cs="Times New Roman" w:eastAsia="Times New Roman" w:hAnsi="Times New Roman"/>
          <w:sz w:val="15"/>
          <w:szCs w:val="15"/>
          <w:color w:val="auto"/>
        </w:rPr>
      </w:pPr>
      <w:r>
        <w:rPr>
          <w:rFonts w:ascii="Arial" w:cs="Arial" w:eastAsia="Arial" w:hAnsi="Arial"/>
          <w:sz w:val="15"/>
          <w:szCs w:val="15"/>
          <w:color w:val="auto"/>
        </w:rPr>
        <w:t>the availability, sourcing, and pricing of raw materials;</w:t>
      </w:r>
    </w:p>
    <w:p>
      <w:pPr>
        <w:spacing w:after="0" w:line="96" w:lineRule="exact"/>
        <w:rPr>
          <w:rFonts w:ascii="Times New Roman" w:cs="Times New Roman" w:eastAsia="Times New Roman" w:hAnsi="Times New Roman"/>
          <w:sz w:val="15"/>
          <w:szCs w:val="15"/>
          <w:color w:val="auto"/>
        </w:rPr>
      </w:pPr>
    </w:p>
    <w:p>
      <w:pPr>
        <w:ind w:left="760" w:right="20" w:hanging="190"/>
        <w:spacing w:after="0" w:line="263" w:lineRule="auto"/>
        <w:tabs>
          <w:tab w:leader="none" w:pos="760" w:val="left"/>
        </w:tabs>
        <w:numPr>
          <w:ilvl w:val="0"/>
          <w:numId w:val="3"/>
        </w:numPr>
        <w:rPr>
          <w:rFonts w:ascii="Times New Roman" w:cs="Times New Roman" w:eastAsia="Times New Roman" w:hAnsi="Times New Roman"/>
          <w:sz w:val="15"/>
          <w:szCs w:val="15"/>
          <w:color w:val="auto"/>
        </w:rPr>
      </w:pPr>
      <w:r>
        <w:rPr>
          <w:rFonts w:ascii="Arial" w:cs="Arial" w:eastAsia="Arial" w:hAnsi="Arial"/>
          <w:sz w:val="15"/>
          <w:szCs w:val="15"/>
          <w:color w:val="auto"/>
        </w:rPr>
        <w:t>general domestic and international economic and industry conditions in markets where the Company competes, including economic and political factors over which the Company has no control;</w:t>
      </w:r>
    </w:p>
    <w:p>
      <w:pPr>
        <w:spacing w:after="0" w:line="53" w:lineRule="exact"/>
        <w:rPr>
          <w:rFonts w:ascii="Times New Roman" w:cs="Times New Roman" w:eastAsia="Times New Roman" w:hAnsi="Times New Roman"/>
          <w:sz w:val="15"/>
          <w:szCs w:val="15"/>
          <w:color w:val="auto"/>
        </w:rPr>
      </w:pPr>
    </w:p>
    <w:p>
      <w:pPr>
        <w:ind w:left="760" w:hanging="190"/>
        <w:spacing w:after="0"/>
        <w:tabs>
          <w:tab w:leader="none" w:pos="760" w:val="left"/>
        </w:tabs>
        <w:numPr>
          <w:ilvl w:val="0"/>
          <w:numId w:val="3"/>
        </w:numPr>
        <w:rPr>
          <w:rFonts w:ascii="Times New Roman" w:cs="Times New Roman" w:eastAsia="Times New Roman" w:hAnsi="Times New Roman"/>
          <w:sz w:val="15"/>
          <w:szCs w:val="15"/>
          <w:color w:val="auto"/>
        </w:rPr>
      </w:pPr>
      <w:r>
        <w:rPr>
          <w:rFonts w:ascii="Arial" w:cs="Arial" w:eastAsia="Arial" w:hAnsi="Arial"/>
          <w:sz w:val="15"/>
          <w:szCs w:val="15"/>
          <w:color w:val="auto"/>
        </w:rPr>
        <w:t>changes in consumer spending, customer preferences, fashion trends, and end-uses for the Company’s products;</w:t>
      </w:r>
    </w:p>
    <w:p>
      <w:pPr>
        <w:spacing w:after="0" w:line="96" w:lineRule="exact"/>
        <w:rPr>
          <w:rFonts w:ascii="Times New Roman" w:cs="Times New Roman" w:eastAsia="Times New Roman" w:hAnsi="Times New Roman"/>
          <w:sz w:val="15"/>
          <w:szCs w:val="15"/>
          <w:color w:val="auto"/>
        </w:rPr>
      </w:pPr>
    </w:p>
    <w:p>
      <w:pPr>
        <w:ind w:left="760" w:hanging="190"/>
        <w:spacing w:after="0"/>
        <w:tabs>
          <w:tab w:leader="none" w:pos="760" w:val="left"/>
        </w:tabs>
        <w:numPr>
          <w:ilvl w:val="0"/>
          <w:numId w:val="3"/>
        </w:numPr>
        <w:rPr>
          <w:rFonts w:ascii="Times New Roman" w:cs="Times New Roman" w:eastAsia="Times New Roman" w:hAnsi="Times New Roman"/>
          <w:sz w:val="15"/>
          <w:szCs w:val="15"/>
          <w:color w:val="auto"/>
        </w:rPr>
      </w:pPr>
      <w:r>
        <w:rPr>
          <w:rFonts w:ascii="Arial" w:cs="Arial" w:eastAsia="Arial" w:hAnsi="Arial"/>
          <w:sz w:val="15"/>
          <w:szCs w:val="15"/>
          <w:color w:val="auto"/>
        </w:rPr>
        <w:t>the financial condition of the Company’s customers;</w:t>
      </w:r>
    </w:p>
    <w:p>
      <w:pPr>
        <w:spacing w:after="0" w:line="96" w:lineRule="exact"/>
        <w:rPr>
          <w:rFonts w:ascii="Times New Roman" w:cs="Times New Roman" w:eastAsia="Times New Roman" w:hAnsi="Times New Roman"/>
          <w:sz w:val="15"/>
          <w:szCs w:val="15"/>
          <w:color w:val="auto"/>
        </w:rPr>
      </w:pPr>
    </w:p>
    <w:p>
      <w:pPr>
        <w:ind w:left="760" w:hanging="190"/>
        <w:spacing w:after="0"/>
        <w:tabs>
          <w:tab w:leader="none" w:pos="760" w:val="left"/>
        </w:tabs>
        <w:numPr>
          <w:ilvl w:val="0"/>
          <w:numId w:val="3"/>
        </w:numPr>
        <w:rPr>
          <w:rFonts w:ascii="Times New Roman" w:cs="Times New Roman" w:eastAsia="Times New Roman" w:hAnsi="Times New Roman"/>
          <w:sz w:val="15"/>
          <w:szCs w:val="15"/>
          <w:color w:val="auto"/>
        </w:rPr>
      </w:pPr>
      <w:r>
        <w:rPr>
          <w:rFonts w:ascii="Arial" w:cs="Arial" w:eastAsia="Arial" w:hAnsi="Arial"/>
          <w:sz w:val="15"/>
          <w:szCs w:val="15"/>
          <w:color w:val="auto"/>
        </w:rPr>
        <w:t>the loss of a significant customer or brand partner;</w:t>
      </w:r>
    </w:p>
    <w:p>
      <w:pPr>
        <w:spacing w:after="0" w:line="96" w:lineRule="exact"/>
        <w:rPr>
          <w:rFonts w:ascii="Times New Roman" w:cs="Times New Roman" w:eastAsia="Times New Roman" w:hAnsi="Times New Roman"/>
          <w:sz w:val="15"/>
          <w:szCs w:val="15"/>
          <w:color w:val="auto"/>
        </w:rPr>
      </w:pPr>
    </w:p>
    <w:p>
      <w:pPr>
        <w:ind w:left="760" w:hanging="190"/>
        <w:spacing w:after="0"/>
        <w:tabs>
          <w:tab w:leader="none" w:pos="760" w:val="left"/>
        </w:tabs>
        <w:numPr>
          <w:ilvl w:val="0"/>
          <w:numId w:val="3"/>
        </w:numPr>
        <w:rPr>
          <w:rFonts w:ascii="Times New Roman" w:cs="Times New Roman" w:eastAsia="Times New Roman" w:hAnsi="Times New Roman"/>
          <w:sz w:val="15"/>
          <w:szCs w:val="15"/>
          <w:color w:val="auto"/>
        </w:rPr>
      </w:pPr>
      <w:r>
        <w:rPr>
          <w:rFonts w:ascii="Arial" w:cs="Arial" w:eastAsia="Arial" w:hAnsi="Arial"/>
          <w:sz w:val="15"/>
          <w:szCs w:val="15"/>
          <w:color w:val="auto"/>
        </w:rPr>
        <w:t>natural disasters, industrial accidents, power or water shortages, extreme weather conditions, and other disruptions at one of the Company’s facilities;</w:t>
      </w:r>
    </w:p>
    <w:p>
      <w:pPr>
        <w:spacing w:after="0" w:line="96" w:lineRule="exact"/>
        <w:rPr>
          <w:rFonts w:ascii="Times New Roman" w:cs="Times New Roman" w:eastAsia="Times New Roman" w:hAnsi="Times New Roman"/>
          <w:sz w:val="15"/>
          <w:szCs w:val="15"/>
          <w:color w:val="auto"/>
        </w:rPr>
      </w:pPr>
    </w:p>
    <w:p>
      <w:pPr>
        <w:ind w:left="760" w:hanging="190"/>
        <w:spacing w:after="0" w:line="263" w:lineRule="auto"/>
        <w:tabs>
          <w:tab w:leader="none" w:pos="760" w:val="left"/>
        </w:tabs>
        <w:numPr>
          <w:ilvl w:val="0"/>
          <w:numId w:val="3"/>
        </w:numPr>
        <w:rPr>
          <w:rFonts w:ascii="Times New Roman" w:cs="Times New Roman" w:eastAsia="Times New Roman" w:hAnsi="Times New Roman"/>
          <w:sz w:val="15"/>
          <w:szCs w:val="15"/>
          <w:color w:val="auto"/>
        </w:rPr>
      </w:pPr>
      <w:r>
        <w:rPr>
          <w:rFonts w:ascii="Arial" w:cs="Arial" w:eastAsia="Arial" w:hAnsi="Arial"/>
          <w:sz w:val="15"/>
          <w:szCs w:val="15"/>
          <w:color w:val="auto"/>
        </w:rPr>
        <w:t>the disruption of operations, global demand, or financial performance as a result of catastrophic or extraordinary events, including, but not limited to, epidemics or pandemics;</w:t>
      </w:r>
    </w:p>
    <w:p>
      <w:pPr>
        <w:spacing w:after="0" w:line="53" w:lineRule="exact"/>
        <w:rPr>
          <w:rFonts w:ascii="Times New Roman" w:cs="Times New Roman" w:eastAsia="Times New Roman" w:hAnsi="Times New Roman"/>
          <w:sz w:val="15"/>
          <w:szCs w:val="15"/>
          <w:color w:val="auto"/>
        </w:rPr>
      </w:pPr>
    </w:p>
    <w:p>
      <w:pPr>
        <w:ind w:left="760" w:hanging="190"/>
        <w:spacing w:after="0"/>
        <w:tabs>
          <w:tab w:leader="none" w:pos="760" w:val="left"/>
        </w:tabs>
        <w:numPr>
          <w:ilvl w:val="0"/>
          <w:numId w:val="3"/>
        </w:numPr>
        <w:rPr>
          <w:rFonts w:ascii="Times New Roman" w:cs="Times New Roman" w:eastAsia="Times New Roman" w:hAnsi="Times New Roman"/>
          <w:sz w:val="15"/>
          <w:szCs w:val="15"/>
          <w:color w:val="auto"/>
        </w:rPr>
      </w:pPr>
      <w:r>
        <w:rPr>
          <w:rFonts w:ascii="Arial" w:cs="Arial" w:eastAsia="Arial" w:hAnsi="Arial"/>
          <w:sz w:val="15"/>
          <w:szCs w:val="15"/>
          <w:color w:val="auto"/>
        </w:rPr>
        <w:t>the success of the Company’s strategic business initiatives;</w:t>
      </w:r>
    </w:p>
    <w:p>
      <w:pPr>
        <w:spacing w:after="0" w:line="96" w:lineRule="exact"/>
        <w:rPr>
          <w:rFonts w:ascii="Times New Roman" w:cs="Times New Roman" w:eastAsia="Times New Roman" w:hAnsi="Times New Roman"/>
          <w:sz w:val="15"/>
          <w:szCs w:val="15"/>
          <w:color w:val="auto"/>
        </w:rPr>
      </w:pPr>
    </w:p>
    <w:p>
      <w:pPr>
        <w:ind w:left="760" w:hanging="190"/>
        <w:spacing w:after="0" w:line="251" w:lineRule="auto"/>
        <w:tabs>
          <w:tab w:leader="none" w:pos="760" w:val="left"/>
        </w:tabs>
        <w:numPr>
          <w:ilvl w:val="0"/>
          <w:numId w:val="3"/>
        </w:numPr>
        <w:rPr>
          <w:rFonts w:ascii="Times New Roman" w:cs="Times New Roman" w:eastAsia="Times New Roman" w:hAnsi="Times New Roman"/>
          <w:sz w:val="15"/>
          <w:szCs w:val="15"/>
          <w:color w:val="auto"/>
        </w:rPr>
      </w:pPr>
      <w:r>
        <w:rPr>
          <w:rFonts w:ascii="Arial" w:cs="Arial" w:eastAsia="Arial" w:hAnsi="Arial"/>
          <w:sz w:val="15"/>
          <w:szCs w:val="15"/>
          <w:color w:val="auto"/>
        </w:rPr>
        <w:t>the volatility of financial and credit markets, including the impacts of counterparty risk (e.g., deposit concentration and recent depositor sentiment and activity);</w:t>
      </w:r>
    </w:p>
    <w:p>
      <w:pPr>
        <w:spacing w:after="0" w:line="250" w:lineRule="exact"/>
        <w:rPr>
          <w:rFonts w:ascii="Times New Roman" w:cs="Times New Roman" w:eastAsia="Times New Roman" w:hAnsi="Times New Roman"/>
          <w:sz w:val="15"/>
          <w:szCs w:val="15"/>
          <w:color w:val="auto"/>
        </w:rPr>
      </w:pPr>
    </w:p>
    <w:p>
      <w:pPr>
        <w:ind w:left="760" w:hanging="190"/>
        <w:spacing w:after="0"/>
        <w:tabs>
          <w:tab w:leader="none" w:pos="760" w:val="left"/>
        </w:tabs>
        <w:numPr>
          <w:ilvl w:val="0"/>
          <w:numId w:val="3"/>
        </w:numPr>
        <w:rPr>
          <w:rFonts w:ascii="Times New Roman" w:cs="Times New Roman" w:eastAsia="Times New Roman" w:hAnsi="Times New Roman"/>
          <w:sz w:val="15"/>
          <w:szCs w:val="15"/>
          <w:color w:val="auto"/>
        </w:rPr>
      </w:pPr>
      <w:r>
        <w:rPr>
          <w:rFonts w:ascii="Arial" w:cs="Arial" w:eastAsia="Arial" w:hAnsi="Arial"/>
          <w:sz w:val="15"/>
          <w:szCs w:val="15"/>
          <w:color w:val="auto"/>
        </w:rPr>
        <w:t>the ability to service indebtedness and fund capital expenditures and strategic business initiatives;</w:t>
      </w:r>
    </w:p>
    <w:p>
      <w:pPr>
        <w:spacing w:after="0" w:line="96" w:lineRule="exact"/>
        <w:rPr>
          <w:rFonts w:ascii="Times New Roman" w:cs="Times New Roman" w:eastAsia="Times New Roman" w:hAnsi="Times New Roman"/>
          <w:sz w:val="15"/>
          <w:szCs w:val="15"/>
          <w:color w:val="auto"/>
        </w:rPr>
      </w:pPr>
    </w:p>
    <w:p>
      <w:pPr>
        <w:ind w:left="760" w:hanging="190"/>
        <w:spacing w:after="0"/>
        <w:tabs>
          <w:tab w:leader="none" w:pos="760" w:val="left"/>
        </w:tabs>
        <w:numPr>
          <w:ilvl w:val="0"/>
          <w:numId w:val="3"/>
        </w:numPr>
        <w:rPr>
          <w:rFonts w:ascii="Times New Roman" w:cs="Times New Roman" w:eastAsia="Times New Roman" w:hAnsi="Times New Roman"/>
          <w:sz w:val="15"/>
          <w:szCs w:val="15"/>
          <w:color w:val="auto"/>
        </w:rPr>
      </w:pPr>
      <w:r>
        <w:rPr>
          <w:rFonts w:ascii="Arial" w:cs="Arial" w:eastAsia="Arial" w:hAnsi="Arial"/>
          <w:sz w:val="15"/>
          <w:szCs w:val="15"/>
          <w:color w:val="auto"/>
        </w:rPr>
        <w:t>the availability of and access to credit on reasonable terms;</w:t>
      </w:r>
    </w:p>
    <w:p>
      <w:pPr>
        <w:spacing w:after="0" w:line="96" w:lineRule="exact"/>
        <w:rPr>
          <w:rFonts w:ascii="Times New Roman" w:cs="Times New Roman" w:eastAsia="Times New Roman" w:hAnsi="Times New Roman"/>
          <w:sz w:val="15"/>
          <w:szCs w:val="15"/>
          <w:color w:val="auto"/>
        </w:rPr>
      </w:pPr>
    </w:p>
    <w:p>
      <w:pPr>
        <w:ind w:left="760" w:hanging="190"/>
        <w:spacing w:after="0"/>
        <w:tabs>
          <w:tab w:leader="none" w:pos="760" w:val="left"/>
        </w:tabs>
        <w:numPr>
          <w:ilvl w:val="0"/>
          <w:numId w:val="3"/>
        </w:numPr>
        <w:rPr>
          <w:rFonts w:ascii="Times New Roman" w:cs="Times New Roman" w:eastAsia="Times New Roman" w:hAnsi="Times New Roman"/>
          <w:sz w:val="15"/>
          <w:szCs w:val="15"/>
          <w:color w:val="auto"/>
        </w:rPr>
      </w:pPr>
      <w:r>
        <w:rPr>
          <w:rFonts w:ascii="Arial" w:cs="Arial" w:eastAsia="Arial" w:hAnsi="Arial"/>
          <w:sz w:val="15"/>
          <w:szCs w:val="15"/>
          <w:color w:val="auto"/>
        </w:rPr>
        <w:t>changes in foreign currency exchange, interest, and inflation rates;</w:t>
      </w:r>
    </w:p>
    <w:p>
      <w:pPr>
        <w:spacing w:after="0" w:line="96" w:lineRule="exact"/>
        <w:rPr>
          <w:rFonts w:ascii="Times New Roman" w:cs="Times New Roman" w:eastAsia="Times New Roman" w:hAnsi="Times New Roman"/>
          <w:sz w:val="15"/>
          <w:szCs w:val="15"/>
          <w:color w:val="auto"/>
        </w:rPr>
      </w:pPr>
    </w:p>
    <w:p>
      <w:pPr>
        <w:ind w:left="760" w:hanging="190"/>
        <w:spacing w:after="0"/>
        <w:tabs>
          <w:tab w:leader="none" w:pos="760" w:val="left"/>
        </w:tabs>
        <w:numPr>
          <w:ilvl w:val="0"/>
          <w:numId w:val="3"/>
        </w:numPr>
        <w:rPr>
          <w:rFonts w:ascii="Times New Roman" w:cs="Times New Roman" w:eastAsia="Times New Roman" w:hAnsi="Times New Roman"/>
          <w:sz w:val="15"/>
          <w:szCs w:val="15"/>
          <w:color w:val="auto"/>
        </w:rPr>
      </w:pPr>
      <w:r>
        <w:rPr>
          <w:rFonts w:ascii="Arial" w:cs="Arial" w:eastAsia="Arial" w:hAnsi="Arial"/>
          <w:sz w:val="15"/>
          <w:szCs w:val="15"/>
          <w:color w:val="auto"/>
        </w:rPr>
        <w:t>fluctuations in production costs;</w:t>
      </w:r>
    </w:p>
    <w:p>
      <w:pPr>
        <w:spacing w:after="0" w:line="96" w:lineRule="exact"/>
        <w:rPr>
          <w:rFonts w:ascii="Times New Roman" w:cs="Times New Roman" w:eastAsia="Times New Roman" w:hAnsi="Times New Roman"/>
          <w:sz w:val="15"/>
          <w:szCs w:val="15"/>
          <w:color w:val="auto"/>
        </w:rPr>
      </w:pPr>
    </w:p>
    <w:p>
      <w:pPr>
        <w:ind w:left="760" w:hanging="190"/>
        <w:spacing w:after="0"/>
        <w:tabs>
          <w:tab w:leader="none" w:pos="760" w:val="left"/>
        </w:tabs>
        <w:numPr>
          <w:ilvl w:val="0"/>
          <w:numId w:val="3"/>
        </w:numPr>
        <w:rPr>
          <w:rFonts w:ascii="Times New Roman" w:cs="Times New Roman" w:eastAsia="Times New Roman" w:hAnsi="Times New Roman"/>
          <w:sz w:val="15"/>
          <w:szCs w:val="15"/>
          <w:color w:val="auto"/>
        </w:rPr>
      </w:pPr>
      <w:r>
        <w:rPr>
          <w:rFonts w:ascii="Arial" w:cs="Arial" w:eastAsia="Arial" w:hAnsi="Arial"/>
          <w:sz w:val="15"/>
          <w:szCs w:val="15"/>
          <w:color w:val="auto"/>
        </w:rPr>
        <w:t>the ability to protect intellectual property;</w:t>
      </w:r>
    </w:p>
    <w:p>
      <w:pPr>
        <w:spacing w:after="0" w:line="96" w:lineRule="exact"/>
        <w:rPr>
          <w:rFonts w:ascii="Times New Roman" w:cs="Times New Roman" w:eastAsia="Times New Roman" w:hAnsi="Times New Roman"/>
          <w:sz w:val="15"/>
          <w:szCs w:val="15"/>
          <w:color w:val="auto"/>
        </w:rPr>
      </w:pPr>
    </w:p>
    <w:p>
      <w:pPr>
        <w:ind w:left="760" w:hanging="190"/>
        <w:spacing w:after="0"/>
        <w:tabs>
          <w:tab w:leader="none" w:pos="760" w:val="left"/>
        </w:tabs>
        <w:numPr>
          <w:ilvl w:val="0"/>
          <w:numId w:val="3"/>
        </w:numPr>
        <w:rPr>
          <w:rFonts w:ascii="Times New Roman" w:cs="Times New Roman" w:eastAsia="Times New Roman" w:hAnsi="Times New Roman"/>
          <w:sz w:val="15"/>
          <w:szCs w:val="15"/>
          <w:color w:val="auto"/>
        </w:rPr>
      </w:pPr>
      <w:r>
        <w:rPr>
          <w:rFonts w:ascii="Arial" w:cs="Arial" w:eastAsia="Arial" w:hAnsi="Arial"/>
          <w:sz w:val="15"/>
          <w:szCs w:val="15"/>
          <w:color w:val="auto"/>
        </w:rPr>
        <w:t>the strength and reputation of the Company’s brands;</w:t>
      </w:r>
    </w:p>
    <w:p>
      <w:pPr>
        <w:spacing w:after="0" w:line="96" w:lineRule="exact"/>
        <w:rPr>
          <w:rFonts w:ascii="Times New Roman" w:cs="Times New Roman" w:eastAsia="Times New Roman" w:hAnsi="Times New Roman"/>
          <w:sz w:val="15"/>
          <w:szCs w:val="15"/>
          <w:color w:val="auto"/>
        </w:rPr>
      </w:pPr>
    </w:p>
    <w:p>
      <w:pPr>
        <w:ind w:left="760" w:hanging="190"/>
        <w:spacing w:after="0"/>
        <w:tabs>
          <w:tab w:leader="none" w:pos="760" w:val="left"/>
        </w:tabs>
        <w:numPr>
          <w:ilvl w:val="0"/>
          <w:numId w:val="3"/>
        </w:numPr>
        <w:rPr>
          <w:rFonts w:ascii="Times New Roman" w:cs="Times New Roman" w:eastAsia="Times New Roman" w:hAnsi="Times New Roman"/>
          <w:sz w:val="15"/>
          <w:szCs w:val="15"/>
          <w:color w:val="auto"/>
        </w:rPr>
      </w:pPr>
      <w:r>
        <w:rPr>
          <w:rFonts w:ascii="Arial" w:cs="Arial" w:eastAsia="Arial" w:hAnsi="Arial"/>
          <w:sz w:val="15"/>
          <w:szCs w:val="15"/>
          <w:color w:val="auto"/>
        </w:rPr>
        <w:t>employee relations;</w:t>
      </w:r>
    </w:p>
    <w:p>
      <w:pPr>
        <w:spacing w:after="0" w:line="96" w:lineRule="exact"/>
        <w:rPr>
          <w:rFonts w:ascii="Times New Roman" w:cs="Times New Roman" w:eastAsia="Times New Roman" w:hAnsi="Times New Roman"/>
          <w:sz w:val="15"/>
          <w:szCs w:val="15"/>
          <w:color w:val="auto"/>
        </w:rPr>
      </w:pPr>
    </w:p>
    <w:p>
      <w:pPr>
        <w:ind w:left="760" w:hanging="190"/>
        <w:spacing w:after="0"/>
        <w:tabs>
          <w:tab w:leader="none" w:pos="760" w:val="left"/>
        </w:tabs>
        <w:numPr>
          <w:ilvl w:val="0"/>
          <w:numId w:val="3"/>
        </w:numPr>
        <w:rPr>
          <w:rFonts w:ascii="Times New Roman" w:cs="Times New Roman" w:eastAsia="Times New Roman" w:hAnsi="Times New Roman"/>
          <w:sz w:val="15"/>
          <w:szCs w:val="15"/>
          <w:color w:val="auto"/>
        </w:rPr>
      </w:pPr>
      <w:r>
        <w:rPr>
          <w:rFonts w:ascii="Arial" w:cs="Arial" w:eastAsia="Arial" w:hAnsi="Arial"/>
          <w:sz w:val="15"/>
          <w:szCs w:val="15"/>
          <w:color w:val="auto"/>
        </w:rPr>
        <w:t>the ability to attract, retain, and motivate key employees;</w:t>
      </w:r>
    </w:p>
    <w:p>
      <w:pPr>
        <w:spacing w:after="0" w:line="96" w:lineRule="exact"/>
        <w:rPr>
          <w:rFonts w:ascii="Times New Roman" w:cs="Times New Roman" w:eastAsia="Times New Roman" w:hAnsi="Times New Roman"/>
          <w:sz w:val="15"/>
          <w:szCs w:val="15"/>
          <w:color w:val="auto"/>
        </w:rPr>
      </w:pPr>
    </w:p>
    <w:p>
      <w:pPr>
        <w:ind w:left="760" w:hanging="190"/>
        <w:spacing w:after="0"/>
        <w:tabs>
          <w:tab w:leader="none" w:pos="760" w:val="left"/>
        </w:tabs>
        <w:numPr>
          <w:ilvl w:val="0"/>
          <w:numId w:val="3"/>
        </w:numPr>
        <w:rPr>
          <w:rFonts w:ascii="Times New Roman" w:cs="Times New Roman" w:eastAsia="Times New Roman" w:hAnsi="Times New Roman"/>
          <w:sz w:val="15"/>
          <w:szCs w:val="15"/>
          <w:color w:val="auto"/>
        </w:rPr>
      </w:pPr>
      <w:r>
        <w:rPr>
          <w:rFonts w:ascii="Arial" w:cs="Arial" w:eastAsia="Arial" w:hAnsi="Arial"/>
          <w:sz w:val="15"/>
          <w:szCs w:val="15"/>
          <w:color w:val="auto"/>
        </w:rPr>
        <w:t>the impact of climate change or environmental, health, and safety regulations;</w:t>
      </w:r>
    </w:p>
    <w:p>
      <w:pPr>
        <w:spacing w:after="0" w:line="96" w:lineRule="exact"/>
        <w:rPr>
          <w:rFonts w:ascii="Times New Roman" w:cs="Times New Roman" w:eastAsia="Times New Roman" w:hAnsi="Times New Roman"/>
          <w:sz w:val="15"/>
          <w:szCs w:val="15"/>
          <w:color w:val="auto"/>
        </w:rPr>
      </w:pPr>
    </w:p>
    <w:p>
      <w:pPr>
        <w:ind w:left="760" w:hanging="190"/>
        <w:spacing w:after="0"/>
        <w:tabs>
          <w:tab w:leader="none" w:pos="760" w:val="left"/>
        </w:tabs>
        <w:numPr>
          <w:ilvl w:val="0"/>
          <w:numId w:val="3"/>
        </w:numPr>
        <w:rPr>
          <w:rFonts w:ascii="Times New Roman" w:cs="Times New Roman" w:eastAsia="Times New Roman" w:hAnsi="Times New Roman"/>
          <w:sz w:val="15"/>
          <w:szCs w:val="15"/>
          <w:color w:val="auto"/>
        </w:rPr>
      </w:pPr>
      <w:r>
        <w:rPr>
          <w:rFonts w:ascii="Arial" w:cs="Arial" w:eastAsia="Arial" w:hAnsi="Arial"/>
          <w:sz w:val="15"/>
          <w:szCs w:val="15"/>
          <w:color w:val="auto"/>
        </w:rPr>
        <w:t>the impact of tax laws, the judicial or administrative interpretations of tax laws, and/or changes in such laws or interpretations; and</w:t>
      </w:r>
    </w:p>
    <w:p>
      <w:pPr>
        <w:spacing w:after="0" w:line="96" w:lineRule="exact"/>
        <w:rPr>
          <w:rFonts w:ascii="Times New Roman" w:cs="Times New Roman" w:eastAsia="Times New Roman" w:hAnsi="Times New Roman"/>
          <w:sz w:val="15"/>
          <w:szCs w:val="15"/>
          <w:color w:val="auto"/>
        </w:rPr>
      </w:pPr>
    </w:p>
    <w:p>
      <w:pPr>
        <w:ind w:left="760" w:hanging="190"/>
        <w:spacing w:after="0" w:line="263" w:lineRule="auto"/>
        <w:tabs>
          <w:tab w:leader="none" w:pos="760" w:val="left"/>
        </w:tabs>
        <w:numPr>
          <w:ilvl w:val="0"/>
          <w:numId w:val="3"/>
        </w:numPr>
        <w:rPr>
          <w:rFonts w:ascii="Times New Roman" w:cs="Times New Roman" w:eastAsia="Times New Roman" w:hAnsi="Times New Roman"/>
          <w:sz w:val="15"/>
          <w:szCs w:val="15"/>
          <w:color w:val="auto"/>
        </w:rPr>
      </w:pPr>
      <w:r>
        <w:rPr>
          <w:rFonts w:ascii="Arial" w:cs="Arial" w:eastAsia="Arial" w:hAnsi="Arial"/>
          <w:sz w:val="15"/>
          <w:szCs w:val="15"/>
          <w:color w:val="auto"/>
        </w:rPr>
        <w:t>other factors discussed in “Item 1A. Risk Factors” in the Company’s Annual Report on Form 10-K for the fiscal year ended June 29, 2025 or in the Company’s other periodic reports and information filed with the Securities and Exchange Commission (the “SEC”).</w:t>
      </w:r>
    </w:p>
    <w:p>
      <w:pPr>
        <w:spacing w:after="0" w:line="53" w:lineRule="exact"/>
        <w:rPr>
          <w:sz w:val="20"/>
          <w:szCs w:val="20"/>
          <w:color w:val="auto"/>
        </w:rPr>
      </w:pPr>
    </w:p>
    <w:p>
      <w:pPr>
        <w:jc w:val="both"/>
        <w:spacing w:after="0" w:line="238" w:lineRule="auto"/>
        <w:rPr>
          <w:sz w:val="20"/>
          <w:szCs w:val="20"/>
          <w:color w:val="auto"/>
        </w:rPr>
      </w:pPr>
      <w:r>
        <w:rPr>
          <w:rFonts w:ascii="Arial" w:cs="Arial" w:eastAsia="Arial" w:hAnsi="Arial"/>
          <w:sz w:val="15"/>
          <w:szCs w:val="15"/>
          <w:color w:val="auto"/>
        </w:rPr>
        <w:t>All such factors are difficult to predict, contain uncertainties that may materially affect actual results, and may be beyond our control. New factors emerge from time to time, and it is not possible for management to predict all such factors or to assess the impact of each such factor on the Company. Any forward-looking statement speaks only as of the date on which such statement is made, and we do not undertake any obligation to update any forward-looking statement to reflect events or circumstances after the date on which such statement is made, except as may be required by federal securities laws.</w:t>
      </w:r>
    </w:p>
    <w:p>
      <w:pPr>
        <w:spacing w:after="0" w:line="72" w:lineRule="exact"/>
        <w:rPr>
          <w:sz w:val="20"/>
          <w:szCs w:val="20"/>
          <w:color w:val="auto"/>
        </w:rPr>
      </w:pPr>
    </w:p>
    <w:p>
      <w:pPr>
        <w:jc w:val="both"/>
        <w:ind w:right="20"/>
        <w:spacing w:after="0" w:line="264" w:lineRule="auto"/>
        <w:rPr>
          <w:sz w:val="20"/>
          <w:szCs w:val="20"/>
          <w:color w:val="auto"/>
        </w:rPr>
      </w:pPr>
      <w:r>
        <w:rPr>
          <w:rFonts w:ascii="Arial" w:cs="Arial" w:eastAsia="Arial" w:hAnsi="Arial"/>
          <w:sz w:val="15"/>
          <w:szCs w:val="15"/>
          <w:color w:val="auto"/>
        </w:rPr>
        <w:t>In light of all of the above considerations, we reiterate that forward-looking statements are not guarantees of future performance, and we caution you not to rely on them as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2" w:name="page3"/>
    <w:bookmarkEnd w:id="2"/>
    <w:p>
      <w:pPr>
        <w:ind w:left="5200"/>
        <w:spacing w:after="0"/>
        <w:rPr>
          <w:sz w:val="20"/>
          <w:szCs w:val="20"/>
          <w:color w:val="auto"/>
        </w:rPr>
      </w:pPr>
      <w:r>
        <w:rPr>
          <w:rFonts w:ascii="Arial" w:cs="Arial" w:eastAsia="Arial" w:hAnsi="Arial"/>
          <w:sz w:val="16"/>
          <w:szCs w:val="16"/>
          <w:b w:val="1"/>
          <w:bCs w:val="1"/>
          <w:color w:val="auto"/>
        </w:rPr>
        <w:t>UNIFI, INC.</w:t>
      </w:r>
    </w:p>
    <w:p>
      <w:pPr>
        <w:spacing w:after="0" w:line="113" w:lineRule="exact"/>
        <w:rPr>
          <w:sz w:val="20"/>
          <w:szCs w:val="20"/>
          <w:color w:val="auto"/>
        </w:rPr>
      </w:pPr>
    </w:p>
    <w:p>
      <w:pPr>
        <w:ind w:left="4160"/>
        <w:spacing w:after="0"/>
        <w:rPr>
          <w:sz w:val="20"/>
          <w:szCs w:val="20"/>
          <w:color w:val="auto"/>
        </w:rPr>
      </w:pPr>
      <w:r>
        <w:rPr>
          <w:rFonts w:ascii="Arial" w:cs="Arial" w:eastAsia="Arial" w:hAnsi="Arial"/>
          <w:sz w:val="16"/>
          <w:szCs w:val="16"/>
          <w:b w:val="1"/>
          <w:bCs w:val="1"/>
          <w:color w:val="auto"/>
        </w:rPr>
        <w:t>QUARTERLY REPORT ON FORM 10-Q</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THREE MONTHS AND NINE MONTHS ENDED MARCH 29, 2026</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TABLE OF CONTENTS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00FF"/>
        </w:rPr>
        <w:t>PART I—FINANCIAL INFORMATION</w:t>
      </w:r>
    </w:p>
    <w:tbl>
      <w:tblPr>
        <w:tblLayout w:type="fixed"/>
        <w:tblInd w:w="0" w:type="dxa"/>
        <w:tblCellMar>
          <w:top w:w="0" w:type="dxa"/>
          <w:left w:w="0" w:type="dxa"/>
          <w:bottom w:w="0" w:type="dxa"/>
          <w:right w:w="0" w:type="dxa"/>
        </w:tblCellMar>
      </w:tblP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7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3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344"/>
        </w:trPr>
        <w:tc>
          <w:tcPr>
            <w:tcW w:w="920" w:type="dxa"/>
            <w:vAlign w:val="bottom"/>
          </w:tcPr>
          <w:p>
            <w:pPr>
              <w:spacing w:after="0"/>
              <w:rPr>
                <w:sz w:val="20"/>
                <w:szCs w:val="20"/>
                <w:color w:val="auto"/>
              </w:rPr>
            </w:pPr>
            <w:r>
              <w:rPr>
                <w:rFonts w:ascii="Arial" w:cs="Arial" w:eastAsia="Arial" w:hAnsi="Arial"/>
                <w:sz w:val="16"/>
                <w:szCs w:val="16"/>
                <w:color w:val="auto"/>
              </w:rPr>
              <w:t>Item 1.</w:t>
            </w:r>
          </w:p>
        </w:tc>
        <w:tc>
          <w:tcPr>
            <w:tcW w:w="1520" w:type="dxa"/>
            <w:vAlign w:val="bottom"/>
            <w:tcBorders>
              <w:bottom w:val="single" w:sz="8" w:color="0000FF"/>
            </w:tcBorders>
            <w:gridSpan w:val="7"/>
          </w:tcPr>
          <w:p>
            <w:pPr>
              <w:spacing w:after="0"/>
              <w:rPr>
                <w:sz w:val="20"/>
                <w:szCs w:val="20"/>
                <w:color w:val="auto"/>
              </w:rPr>
            </w:pPr>
            <w:r>
              <w:rPr>
                <w:rFonts w:ascii="Arial" w:cs="Arial" w:eastAsia="Arial" w:hAnsi="Arial"/>
                <w:sz w:val="16"/>
                <w:szCs w:val="16"/>
                <w:color w:val="0000FF"/>
              </w:rPr>
              <w:t>Financial Statements</w:t>
            </w:r>
          </w:p>
        </w:tc>
        <w:tc>
          <w:tcPr>
            <w:tcW w:w="8240" w:type="dxa"/>
            <w:vAlign w:val="bottom"/>
            <w:gridSpan w:val="14"/>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58"/>
        </w:trPr>
        <w:tc>
          <w:tcPr>
            <w:tcW w:w="920" w:type="dxa"/>
            <w:vAlign w:val="bottom"/>
          </w:tcPr>
          <w:p>
            <w:pPr>
              <w:spacing w:after="0"/>
              <w:rPr>
                <w:sz w:val="24"/>
                <w:szCs w:val="24"/>
                <w:color w:val="auto"/>
              </w:rPr>
            </w:pPr>
          </w:p>
        </w:tc>
        <w:tc>
          <w:tcPr>
            <w:tcW w:w="5980" w:type="dxa"/>
            <w:vAlign w:val="bottom"/>
            <w:tcBorders>
              <w:bottom w:val="single" w:sz="8" w:color="0000FF"/>
            </w:tcBorders>
            <w:gridSpan w:val="15"/>
          </w:tcPr>
          <w:p>
            <w:pPr>
              <w:spacing w:after="0"/>
              <w:rPr>
                <w:sz w:val="20"/>
                <w:szCs w:val="20"/>
                <w:color w:val="auto"/>
              </w:rPr>
            </w:pPr>
            <w:r>
              <w:rPr>
                <w:rFonts w:ascii="Arial" w:cs="Arial" w:eastAsia="Arial" w:hAnsi="Arial"/>
                <w:sz w:val="16"/>
                <w:szCs w:val="16"/>
                <w:color w:val="0000FF"/>
              </w:rPr>
              <w:t>Condensed Consolidated Balance Sheets as of March 29, 2026 and June 29, 2025</w:t>
            </w:r>
          </w:p>
        </w:tc>
        <w:tc>
          <w:tcPr>
            <w:tcW w:w="3780" w:type="dxa"/>
            <w:vAlign w:val="bottom"/>
            <w:gridSpan w:val="6"/>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58"/>
        </w:trPr>
        <w:tc>
          <w:tcPr>
            <w:tcW w:w="920" w:type="dxa"/>
            <w:vAlign w:val="bottom"/>
          </w:tcPr>
          <w:p>
            <w:pPr>
              <w:spacing w:after="0"/>
              <w:rPr>
                <w:sz w:val="24"/>
                <w:szCs w:val="24"/>
                <w:color w:val="auto"/>
              </w:rPr>
            </w:pPr>
          </w:p>
        </w:tc>
        <w:tc>
          <w:tcPr>
            <w:tcW w:w="9760" w:type="dxa"/>
            <w:vAlign w:val="bottom"/>
            <w:gridSpan w:val="21"/>
          </w:tcPr>
          <w:p>
            <w:pPr>
              <w:spacing w:after="0"/>
              <w:rPr>
                <w:sz w:val="20"/>
                <w:szCs w:val="20"/>
                <w:color w:val="auto"/>
              </w:rPr>
            </w:pPr>
            <w:r>
              <w:rPr>
                <w:rFonts w:ascii="Arial" w:cs="Arial" w:eastAsia="Arial" w:hAnsi="Arial"/>
                <w:sz w:val="16"/>
                <w:szCs w:val="16"/>
                <w:color w:val="0000FF"/>
              </w:rPr>
              <w:t>Condensed Consolidated Statements of Operations and Comprehensive Income (Loss) for the Three Months and Nine Months Ended</w:t>
            </w: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620" w:type="dxa"/>
            <w:vAlign w:val="bottom"/>
            <w:tcBorders>
              <w:top w:val="single" w:sz="8" w:color="0000FF"/>
              <w:bottom w:val="single" w:sz="8" w:color="0000FF"/>
            </w:tcBorders>
            <w:gridSpan w:val="8"/>
          </w:tcPr>
          <w:p>
            <w:pPr>
              <w:spacing w:after="0" w:line="169" w:lineRule="exact"/>
              <w:rPr>
                <w:sz w:val="20"/>
                <w:szCs w:val="20"/>
                <w:color w:val="auto"/>
              </w:rPr>
            </w:pPr>
            <w:r>
              <w:rPr>
                <w:rFonts w:ascii="Arial" w:cs="Arial" w:eastAsia="Arial" w:hAnsi="Arial"/>
                <w:sz w:val="16"/>
                <w:szCs w:val="16"/>
                <w:color w:val="0000FF"/>
              </w:rPr>
              <w:t>March 29, 2026 and March 30, 2025</w:t>
            </w:r>
          </w:p>
        </w:tc>
        <w:tc>
          <w:tcPr>
            <w:tcW w:w="6820" w:type="dxa"/>
            <w:vAlign w:val="bottom"/>
            <w:tcBorders>
              <w:top w:val="single" w:sz="8" w:color="0000FF"/>
            </w:tcBorders>
            <w:gridSpan w:val="11"/>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920" w:type="dxa"/>
            <w:vAlign w:val="bottom"/>
          </w:tcPr>
          <w:p>
            <w:pPr>
              <w:spacing w:after="0"/>
              <w:rPr>
                <w:sz w:val="24"/>
                <w:szCs w:val="24"/>
                <w:color w:val="auto"/>
              </w:rPr>
            </w:pPr>
          </w:p>
        </w:tc>
        <w:tc>
          <w:tcPr>
            <w:tcW w:w="9760" w:type="dxa"/>
            <w:vAlign w:val="bottom"/>
            <w:gridSpan w:val="21"/>
          </w:tcPr>
          <w:p>
            <w:pPr>
              <w:spacing w:after="0"/>
              <w:rPr>
                <w:sz w:val="20"/>
                <w:szCs w:val="20"/>
                <w:color w:val="auto"/>
              </w:rPr>
            </w:pPr>
            <w:r>
              <w:rPr>
                <w:rFonts w:ascii="Arial" w:cs="Arial" w:eastAsia="Arial" w:hAnsi="Arial"/>
                <w:sz w:val="16"/>
                <w:szCs w:val="16"/>
                <w:color w:val="0000FF"/>
              </w:rPr>
              <w:t>Condensed Consolidated Statements of Shareholders’ Equity for the Three Months and Nine Months Ended March 29, 2026 and</w:t>
            </w: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9060" w:type="dxa"/>
            <w:vAlign w:val="bottom"/>
            <w:tcBorders>
              <w:top w:val="single" w:sz="8" w:color="0000FF"/>
            </w:tcBorders>
            <w:gridSpan w:val="18"/>
          </w:tcPr>
          <w:p>
            <w:pPr>
              <w:spacing w:after="0" w:line="169" w:lineRule="exact"/>
              <w:rPr>
                <w:sz w:val="20"/>
                <w:szCs w:val="20"/>
                <w:color w:val="auto"/>
              </w:rPr>
            </w:pPr>
            <w:r>
              <w:rPr>
                <w:rFonts w:ascii="Arial" w:cs="Arial" w:eastAsia="Arial" w:hAnsi="Arial"/>
                <w:sz w:val="16"/>
                <w:szCs w:val="16"/>
                <w:color w:val="0000FF"/>
              </w:rPr>
              <w:t>March 30, 2025</w:t>
            </w:r>
          </w:p>
        </w:tc>
        <w:tc>
          <w:tcPr>
            <w:tcW w:w="480" w:type="dxa"/>
            <w:vAlign w:val="bottom"/>
            <w:gridSpan w:val="2"/>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20" w:type="dxa"/>
            <w:vAlign w:val="bottom"/>
          </w:tcPr>
          <w:p>
            <w:pPr>
              <w:spacing w:after="0"/>
              <w:rPr>
                <w:sz w:val="24"/>
                <w:szCs w:val="24"/>
                <w:color w:val="auto"/>
              </w:rPr>
            </w:pPr>
          </w:p>
        </w:tc>
        <w:tc>
          <w:tcPr>
            <w:tcW w:w="9760" w:type="dxa"/>
            <w:vAlign w:val="bottom"/>
            <w:gridSpan w:val="21"/>
          </w:tcPr>
          <w:p>
            <w:pPr>
              <w:spacing w:after="0"/>
              <w:rPr>
                <w:sz w:val="20"/>
                <w:szCs w:val="20"/>
                <w:color w:val="auto"/>
              </w:rPr>
            </w:pPr>
            <w:r>
              <w:rPr>
                <w:rFonts w:ascii="Arial" w:cs="Arial" w:eastAsia="Arial" w:hAnsi="Arial"/>
                <w:sz w:val="16"/>
                <w:szCs w:val="16"/>
                <w:color w:val="0000FF"/>
              </w:rPr>
              <w:t>Condensed Consolidated Statements of Cash Flows for the Nine Months Ended March 29, 2026 and March 30, 2025</w:t>
            </w:r>
          </w:p>
        </w:tc>
        <w:tc>
          <w:tcPr>
            <w:tcW w:w="56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58"/>
        </w:trPr>
        <w:tc>
          <w:tcPr>
            <w:tcW w:w="920" w:type="dxa"/>
            <w:vAlign w:val="bottom"/>
          </w:tcPr>
          <w:p>
            <w:pPr>
              <w:spacing w:after="0"/>
              <w:rPr>
                <w:sz w:val="24"/>
                <w:szCs w:val="24"/>
                <w:color w:val="auto"/>
              </w:rPr>
            </w:pPr>
          </w:p>
        </w:tc>
        <w:tc>
          <w:tcPr>
            <w:tcW w:w="4040" w:type="dxa"/>
            <w:vAlign w:val="bottom"/>
            <w:tcBorders>
              <w:top w:val="single" w:sz="8" w:color="0000FF"/>
              <w:bottom w:val="single" w:sz="8" w:color="0000FF"/>
            </w:tcBorders>
            <w:gridSpan w:val="12"/>
          </w:tcPr>
          <w:p>
            <w:pPr>
              <w:spacing w:after="0"/>
              <w:rPr>
                <w:sz w:val="20"/>
                <w:szCs w:val="20"/>
                <w:color w:val="auto"/>
              </w:rPr>
            </w:pPr>
            <w:r>
              <w:rPr>
                <w:rFonts w:ascii="Arial" w:cs="Arial" w:eastAsia="Arial" w:hAnsi="Arial"/>
                <w:sz w:val="16"/>
                <w:szCs w:val="16"/>
                <w:color w:val="0000FF"/>
              </w:rPr>
              <w:t>Notes to Condensed Consolidated Financial Statements</w:t>
            </w:r>
          </w:p>
        </w:tc>
        <w:tc>
          <w:tcPr>
            <w:tcW w:w="4340" w:type="dxa"/>
            <w:vAlign w:val="bottom"/>
            <w:tcBorders>
              <w:top w:val="single" w:sz="8" w:color="0000FF"/>
            </w:tcBorders>
            <w:gridSpan w:val="6"/>
          </w:tcPr>
          <w:p>
            <w:pPr>
              <w:spacing w:after="0"/>
              <w:rPr>
                <w:sz w:val="24"/>
                <w:szCs w:val="24"/>
                <w:color w:val="auto"/>
              </w:rPr>
            </w:pPr>
          </w:p>
        </w:tc>
        <w:tc>
          <w:tcPr>
            <w:tcW w:w="1380" w:type="dxa"/>
            <w:vAlign w:val="bottom"/>
            <w:gridSpan w:val="3"/>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425"/>
        </w:trPr>
        <w:tc>
          <w:tcPr>
            <w:tcW w:w="920" w:type="dxa"/>
            <w:vAlign w:val="bottom"/>
          </w:tcPr>
          <w:p>
            <w:pPr>
              <w:spacing w:after="0"/>
              <w:rPr>
                <w:sz w:val="20"/>
                <w:szCs w:val="20"/>
                <w:color w:val="auto"/>
              </w:rPr>
            </w:pPr>
            <w:r>
              <w:rPr>
                <w:rFonts w:ascii="Arial" w:cs="Arial" w:eastAsia="Arial" w:hAnsi="Arial"/>
                <w:sz w:val="16"/>
                <w:szCs w:val="16"/>
                <w:color w:val="auto"/>
              </w:rPr>
              <w:t>Item 2.</w:t>
            </w:r>
          </w:p>
        </w:tc>
        <w:tc>
          <w:tcPr>
            <w:tcW w:w="9760" w:type="dxa"/>
            <w:vAlign w:val="bottom"/>
            <w:gridSpan w:val="21"/>
          </w:tcPr>
          <w:p>
            <w:pPr>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56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58"/>
        </w:trPr>
        <w:tc>
          <w:tcPr>
            <w:tcW w:w="920" w:type="dxa"/>
            <w:vAlign w:val="bottom"/>
          </w:tcPr>
          <w:p>
            <w:pPr>
              <w:spacing w:after="0"/>
              <w:rPr>
                <w:sz w:val="20"/>
                <w:szCs w:val="20"/>
                <w:color w:val="auto"/>
              </w:rPr>
            </w:pPr>
            <w:r>
              <w:rPr>
                <w:rFonts w:ascii="Arial" w:cs="Arial" w:eastAsia="Arial" w:hAnsi="Arial"/>
                <w:sz w:val="16"/>
                <w:szCs w:val="16"/>
                <w:color w:val="auto"/>
              </w:rPr>
              <w:t>Item 3.</w:t>
            </w:r>
          </w:p>
        </w:tc>
        <w:tc>
          <w:tcPr>
            <w:tcW w:w="6380" w:type="dxa"/>
            <w:vAlign w:val="bottom"/>
            <w:tcBorders>
              <w:top w:val="single" w:sz="8" w:color="0000FF"/>
            </w:tcBorders>
            <w:gridSpan w:val="17"/>
          </w:tcPr>
          <w:p>
            <w:pPr>
              <w:spacing w:after="0"/>
              <w:rPr>
                <w:sz w:val="20"/>
                <w:szCs w:val="20"/>
                <w:color w:val="auto"/>
              </w:rPr>
            </w:pPr>
            <w:r>
              <w:rPr>
                <w:rFonts w:ascii="Arial" w:cs="Arial" w:eastAsia="Arial" w:hAnsi="Arial"/>
                <w:sz w:val="16"/>
                <w:szCs w:val="16"/>
                <w:color w:val="0000FF"/>
              </w:rPr>
              <w:t>Quantitative and Qualitative Disclosures About Market Risk</w:t>
            </w:r>
          </w:p>
        </w:tc>
        <w:tc>
          <w:tcPr>
            <w:tcW w:w="3380" w:type="dxa"/>
            <w:vAlign w:val="bottom"/>
            <w:gridSpan w:val="4"/>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358"/>
        </w:trPr>
        <w:tc>
          <w:tcPr>
            <w:tcW w:w="920" w:type="dxa"/>
            <w:vAlign w:val="bottom"/>
          </w:tcPr>
          <w:p>
            <w:pPr>
              <w:spacing w:after="0"/>
              <w:rPr>
                <w:sz w:val="20"/>
                <w:szCs w:val="20"/>
                <w:color w:val="auto"/>
              </w:rPr>
            </w:pPr>
            <w:r>
              <w:rPr>
                <w:rFonts w:ascii="Arial" w:cs="Arial" w:eastAsia="Arial" w:hAnsi="Arial"/>
                <w:sz w:val="16"/>
                <w:szCs w:val="16"/>
                <w:color w:val="auto"/>
              </w:rPr>
              <w:t>Item 4.</w:t>
            </w:r>
          </w:p>
        </w:tc>
        <w:tc>
          <w:tcPr>
            <w:tcW w:w="4240" w:type="dxa"/>
            <w:vAlign w:val="bottom"/>
            <w:tcBorders>
              <w:top w:val="single" w:sz="8" w:color="0000FF"/>
            </w:tcBorders>
            <w:gridSpan w:val="13"/>
          </w:tcPr>
          <w:p>
            <w:pPr>
              <w:spacing w:after="0"/>
              <w:rPr>
                <w:sz w:val="20"/>
                <w:szCs w:val="20"/>
                <w:color w:val="auto"/>
              </w:rPr>
            </w:pPr>
            <w:r>
              <w:rPr>
                <w:rFonts w:ascii="Arial" w:cs="Arial" w:eastAsia="Arial" w:hAnsi="Arial"/>
                <w:sz w:val="16"/>
                <w:szCs w:val="16"/>
                <w:color w:val="0000FF"/>
              </w:rPr>
              <w:t>Controls and Procedures</w:t>
            </w:r>
          </w:p>
        </w:tc>
        <w:tc>
          <w:tcPr>
            <w:tcW w:w="5520" w:type="dxa"/>
            <w:vAlign w:val="bottom"/>
            <w:gridSpan w:val="8"/>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358"/>
        </w:trPr>
        <w:tc>
          <w:tcPr>
            <w:tcW w:w="92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0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b w:val="1"/>
                <w:bCs w:val="1"/>
                <w:color w:val="0000FF"/>
              </w:rPr>
              <w:t>PART II—OTHER INFORMATION</w:t>
            </w:r>
          </w:p>
        </w:tc>
        <w:tc>
          <w:tcPr>
            <w:tcW w:w="3800" w:type="dxa"/>
            <w:vAlign w:val="bottom"/>
            <w:gridSpan w:val="7"/>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920" w:type="dxa"/>
            <w:vAlign w:val="bottom"/>
          </w:tcPr>
          <w:p>
            <w:pPr>
              <w:spacing w:after="0"/>
              <w:rPr>
                <w:sz w:val="20"/>
                <w:szCs w:val="20"/>
                <w:color w:val="auto"/>
              </w:rPr>
            </w:pPr>
            <w:r>
              <w:rPr>
                <w:rFonts w:ascii="Arial" w:cs="Arial" w:eastAsia="Arial" w:hAnsi="Arial"/>
                <w:sz w:val="16"/>
                <w:szCs w:val="16"/>
                <w:color w:val="auto"/>
              </w:rPr>
              <w:t>Item 1.</w:t>
            </w:r>
          </w:p>
        </w:tc>
        <w:tc>
          <w:tcPr>
            <w:tcW w:w="9760" w:type="dxa"/>
            <w:vAlign w:val="bottom"/>
            <w:gridSpan w:val="21"/>
          </w:tcPr>
          <w:p>
            <w:pPr>
              <w:spacing w:after="0"/>
              <w:rPr>
                <w:sz w:val="20"/>
                <w:szCs w:val="20"/>
                <w:color w:val="auto"/>
              </w:rPr>
            </w:pPr>
            <w:r>
              <w:rPr>
                <w:rFonts w:ascii="Arial" w:cs="Arial" w:eastAsia="Arial" w:hAnsi="Arial"/>
                <w:sz w:val="16"/>
                <w:szCs w:val="16"/>
                <w:color w:val="0000FF"/>
              </w:rPr>
              <w:t>Legal Proceedings</w:t>
            </w:r>
          </w:p>
        </w:tc>
        <w:tc>
          <w:tcPr>
            <w:tcW w:w="56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358"/>
        </w:trPr>
        <w:tc>
          <w:tcPr>
            <w:tcW w:w="920" w:type="dxa"/>
            <w:vAlign w:val="bottom"/>
          </w:tcPr>
          <w:p>
            <w:pPr>
              <w:spacing w:after="0"/>
              <w:rPr>
                <w:sz w:val="20"/>
                <w:szCs w:val="20"/>
                <w:color w:val="auto"/>
              </w:rPr>
            </w:pPr>
            <w:r>
              <w:rPr>
                <w:rFonts w:ascii="Arial" w:cs="Arial" w:eastAsia="Arial" w:hAnsi="Arial"/>
                <w:sz w:val="16"/>
                <w:szCs w:val="16"/>
                <w:color w:val="auto"/>
              </w:rPr>
              <w:t>Item 1A.</w:t>
            </w:r>
          </w:p>
        </w:tc>
        <w:tc>
          <w:tcPr>
            <w:tcW w:w="1360" w:type="dxa"/>
            <w:vAlign w:val="bottom"/>
            <w:tcBorders>
              <w:top w:val="single" w:sz="8" w:color="0000FF"/>
            </w:tcBorders>
            <w:gridSpan w:val="6"/>
          </w:tcPr>
          <w:p>
            <w:pPr>
              <w:spacing w:after="0"/>
              <w:rPr>
                <w:sz w:val="20"/>
                <w:szCs w:val="20"/>
                <w:color w:val="auto"/>
              </w:rPr>
            </w:pPr>
            <w:r>
              <w:rPr>
                <w:rFonts w:ascii="Arial" w:cs="Arial" w:eastAsia="Arial" w:hAnsi="Arial"/>
                <w:sz w:val="16"/>
                <w:szCs w:val="16"/>
                <w:color w:val="0000FF"/>
              </w:rPr>
              <w:t>Risk Factors</w:t>
            </w:r>
          </w:p>
        </w:tc>
        <w:tc>
          <w:tcPr>
            <w:tcW w:w="8400" w:type="dxa"/>
            <w:vAlign w:val="bottom"/>
            <w:gridSpan w:val="15"/>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500" w:type="dxa"/>
            <w:vAlign w:val="bottom"/>
            <w:gridSpan w:val="1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20" w:type="dxa"/>
            <w:vAlign w:val="bottom"/>
          </w:tcPr>
          <w:p>
            <w:pPr>
              <w:spacing w:after="0"/>
              <w:rPr>
                <w:sz w:val="20"/>
                <w:szCs w:val="20"/>
                <w:color w:val="auto"/>
              </w:rPr>
            </w:pPr>
            <w:r>
              <w:rPr>
                <w:rFonts w:ascii="Arial" w:cs="Arial" w:eastAsia="Arial" w:hAnsi="Arial"/>
                <w:sz w:val="16"/>
                <w:szCs w:val="16"/>
                <w:color w:val="auto"/>
              </w:rPr>
              <w:t>Item 5.</w:t>
            </w:r>
          </w:p>
        </w:tc>
        <w:tc>
          <w:tcPr>
            <w:tcW w:w="9760" w:type="dxa"/>
            <w:vAlign w:val="bottom"/>
            <w:gridSpan w:val="21"/>
          </w:tcPr>
          <w:p>
            <w:pPr>
              <w:spacing w:after="0"/>
              <w:rPr>
                <w:sz w:val="20"/>
                <w:szCs w:val="20"/>
                <w:color w:val="auto"/>
              </w:rPr>
            </w:pPr>
            <w:r>
              <w:rPr>
                <w:rFonts w:ascii="Arial" w:cs="Arial" w:eastAsia="Arial" w:hAnsi="Arial"/>
                <w:sz w:val="16"/>
                <w:szCs w:val="16"/>
                <w:color w:val="0000FF"/>
              </w:rPr>
              <w:t>Other Information</w:t>
            </w:r>
          </w:p>
        </w:tc>
        <w:tc>
          <w:tcPr>
            <w:tcW w:w="56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358"/>
        </w:trPr>
        <w:tc>
          <w:tcPr>
            <w:tcW w:w="920" w:type="dxa"/>
            <w:vAlign w:val="bottom"/>
          </w:tcPr>
          <w:p>
            <w:pPr>
              <w:spacing w:after="0"/>
              <w:rPr>
                <w:sz w:val="20"/>
                <w:szCs w:val="20"/>
                <w:color w:val="auto"/>
              </w:rPr>
            </w:pPr>
            <w:r>
              <w:rPr>
                <w:rFonts w:ascii="Arial" w:cs="Arial" w:eastAsia="Arial" w:hAnsi="Arial"/>
                <w:sz w:val="16"/>
                <w:szCs w:val="16"/>
                <w:color w:val="auto"/>
              </w:rPr>
              <w:t>Item 6.</w:t>
            </w:r>
          </w:p>
        </w:tc>
        <w:tc>
          <w:tcPr>
            <w:tcW w:w="58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6"/>
                <w:szCs w:val="16"/>
                <w:color w:val="0000FF"/>
                <w:w w:val="99"/>
              </w:rPr>
              <w:t>Exhibits</w:t>
            </w:r>
          </w:p>
        </w:tc>
        <w:tc>
          <w:tcPr>
            <w:tcW w:w="680" w:type="dxa"/>
            <w:vAlign w:val="bottom"/>
            <w:tcBorders>
              <w:top w:val="single" w:sz="8" w:color="0000FF"/>
            </w:tcBorders>
            <w:gridSpan w:val="3"/>
          </w:tcPr>
          <w:p>
            <w:pPr>
              <w:spacing w:after="0"/>
              <w:rPr>
                <w:sz w:val="24"/>
                <w:szCs w:val="24"/>
                <w:color w:val="auto"/>
              </w:rPr>
            </w:pPr>
          </w:p>
        </w:tc>
        <w:tc>
          <w:tcPr>
            <w:tcW w:w="8500" w:type="dxa"/>
            <w:vAlign w:val="bottom"/>
            <w:gridSpan w:val="16"/>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358"/>
        </w:trPr>
        <w:tc>
          <w:tcPr>
            <w:tcW w:w="920" w:type="dxa"/>
            <w:vAlign w:val="bottom"/>
          </w:tcPr>
          <w:p>
            <w:pPr>
              <w:spacing w:after="0"/>
              <w:rPr>
                <w:sz w:val="24"/>
                <w:szCs w:val="24"/>
                <w:color w:val="auto"/>
              </w:rPr>
            </w:pPr>
          </w:p>
        </w:tc>
        <w:tc>
          <w:tcPr>
            <w:tcW w:w="9760" w:type="dxa"/>
            <w:vAlign w:val="bottom"/>
            <w:gridSpan w:val="21"/>
          </w:tcPr>
          <w:p>
            <w:pPr>
              <w:spacing w:after="0"/>
              <w:rPr>
                <w:sz w:val="20"/>
                <w:szCs w:val="20"/>
                <w:color w:val="auto"/>
              </w:rPr>
            </w:pPr>
            <w:r>
              <w:rPr>
                <w:rFonts w:ascii="Arial" w:cs="Arial" w:eastAsia="Arial" w:hAnsi="Arial"/>
                <w:sz w:val="16"/>
                <w:szCs w:val="16"/>
                <w:color w:val="0000FF"/>
              </w:rPr>
              <w:t>Signatures</w:t>
            </w:r>
          </w:p>
        </w:tc>
        <w:tc>
          <w:tcPr>
            <w:tcW w:w="56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1607"/>
        </w:trPr>
        <w:tc>
          <w:tcPr>
            <w:tcW w:w="920" w:type="dxa"/>
            <w:vAlign w:val="bottom"/>
            <w:tcBorders>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36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96"/>
        </w:trPr>
        <w:tc>
          <w:tcPr>
            <w:tcW w:w="7200" w:type="dxa"/>
            <w:vAlign w:val="bottom"/>
          </w:tcPr>
          <w:p>
            <w:pPr>
              <w:jc w:val="center"/>
              <w:ind w:left="3968"/>
              <w:spacing w:after="0"/>
              <w:rPr>
                <w:sz w:val="20"/>
                <w:szCs w:val="20"/>
                <w:color w:val="auto"/>
              </w:rPr>
            </w:pPr>
            <w:r>
              <w:rPr>
                <w:rFonts w:ascii="Arial" w:cs="Arial" w:eastAsia="Arial" w:hAnsi="Arial"/>
                <w:sz w:val="14"/>
                <w:szCs w:val="14"/>
                <w:b w:val="1"/>
                <w:bCs w:val="1"/>
                <w:color w:val="auto"/>
              </w:rPr>
              <w:t>PART I—FINANCIAL INFORMATION</w:t>
            </w:r>
          </w:p>
        </w:tc>
        <w:tc>
          <w:tcPr>
            <w:tcW w:w="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78"/>
        </w:trPr>
        <w:tc>
          <w:tcPr>
            <w:tcW w:w="7200" w:type="dxa"/>
            <w:vAlign w:val="bottom"/>
          </w:tcPr>
          <w:p>
            <w:pPr>
              <w:spacing w:after="0"/>
              <w:rPr>
                <w:sz w:val="20"/>
                <w:szCs w:val="20"/>
                <w:color w:val="auto"/>
              </w:rPr>
            </w:pPr>
            <w:r>
              <w:rPr>
                <w:rFonts w:ascii="Arial" w:cs="Arial" w:eastAsia="Arial" w:hAnsi="Arial"/>
                <w:sz w:val="14"/>
                <w:szCs w:val="14"/>
                <w:b w:val="1"/>
                <w:bCs w:val="1"/>
                <w:color w:val="auto"/>
              </w:rPr>
              <w:t>Item 1. Financial Statements</w:t>
            </w: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4"/>
        </w:trPr>
        <w:tc>
          <w:tcPr>
            <w:tcW w:w="7500" w:type="dxa"/>
            <w:vAlign w:val="bottom"/>
            <w:gridSpan w:val="2"/>
          </w:tcPr>
          <w:p>
            <w:pPr>
              <w:jc w:val="center"/>
              <w:ind w:left="3668"/>
              <w:spacing w:after="0"/>
              <w:rPr>
                <w:sz w:val="20"/>
                <w:szCs w:val="20"/>
                <w:color w:val="auto"/>
              </w:rPr>
            </w:pPr>
            <w:r>
              <w:rPr>
                <w:rFonts w:ascii="Arial" w:cs="Arial" w:eastAsia="Arial" w:hAnsi="Arial"/>
                <w:sz w:val="14"/>
                <w:szCs w:val="14"/>
                <w:b w:val="1"/>
                <w:bCs w:val="1"/>
                <w:color w:val="auto"/>
              </w:rPr>
              <w:t>CONDENSED CONSOLIDATED BALANCE SHEETS</w:t>
            </w: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2"/>
        </w:trPr>
        <w:tc>
          <w:tcPr>
            <w:tcW w:w="7200" w:type="dxa"/>
            <w:vAlign w:val="bottom"/>
          </w:tcPr>
          <w:p>
            <w:pPr>
              <w:jc w:val="center"/>
              <w:ind w:left="3968"/>
              <w:spacing w:after="0"/>
              <w:rPr>
                <w:sz w:val="20"/>
                <w:szCs w:val="20"/>
                <w:color w:val="auto"/>
              </w:rPr>
            </w:pPr>
            <w:r>
              <w:rPr>
                <w:rFonts w:ascii="Arial" w:cs="Arial" w:eastAsia="Arial" w:hAnsi="Arial"/>
                <w:sz w:val="14"/>
                <w:szCs w:val="14"/>
                <w:b w:val="1"/>
                <w:bCs w:val="1"/>
                <w:color w:val="auto"/>
              </w:rPr>
              <w:t>(Unaudited)</w:t>
            </w:r>
          </w:p>
        </w:tc>
        <w:tc>
          <w:tcPr>
            <w:tcW w:w="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6"/>
        </w:trPr>
        <w:tc>
          <w:tcPr>
            <w:tcW w:w="7500" w:type="dxa"/>
            <w:vAlign w:val="bottom"/>
            <w:gridSpan w:val="2"/>
          </w:tcPr>
          <w:p>
            <w:pPr>
              <w:jc w:val="center"/>
              <w:ind w:left="3688"/>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99"/>
        </w:trPr>
        <w:tc>
          <w:tcPr>
            <w:tcW w:w="7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March 29, 2026</w:t>
            </w:r>
          </w:p>
        </w:tc>
        <w:tc>
          <w:tcPr>
            <w:tcW w:w="280" w:type="dxa"/>
            <w:vAlign w:val="bottom"/>
          </w:tcPr>
          <w:p>
            <w:pPr>
              <w:spacing w:after="0"/>
              <w:rPr>
                <w:sz w:val="24"/>
                <w:szCs w:val="24"/>
                <w:color w:val="auto"/>
              </w:rPr>
            </w:pPr>
          </w:p>
        </w:tc>
        <w:tc>
          <w:tcPr>
            <w:tcW w:w="17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June 29, 2025</w:t>
            </w:r>
          </w:p>
        </w:tc>
      </w:tr>
      <w:tr>
        <w:trPr>
          <w:trHeight w:val="156"/>
        </w:trPr>
        <w:tc>
          <w:tcPr>
            <w:tcW w:w="7200" w:type="dxa"/>
            <w:vAlign w:val="bottom"/>
            <w:tcBorders>
              <w:right w:val="single" w:sz="8" w:color="CFF0FC"/>
            </w:tcBorders>
            <w:shd w:val="clear" w:color="auto" w:fill="CFF0FC"/>
          </w:tcPr>
          <w:p>
            <w:pPr>
              <w:ind w:left="3240"/>
              <w:spacing w:after="0" w:line="155" w:lineRule="exact"/>
              <w:rPr>
                <w:sz w:val="20"/>
                <w:szCs w:val="20"/>
                <w:color w:val="auto"/>
              </w:rPr>
            </w:pPr>
            <w:r>
              <w:rPr>
                <w:rFonts w:ascii="Arial" w:cs="Arial" w:eastAsia="Arial" w:hAnsi="Arial"/>
                <w:sz w:val="14"/>
                <w:szCs w:val="14"/>
                <w:b w:val="1"/>
                <w:bCs w:val="1"/>
                <w:color w:val="auto"/>
              </w:rPr>
              <w:t>ASSETS</w:t>
            </w:r>
          </w:p>
        </w:tc>
        <w:tc>
          <w:tcPr>
            <w:tcW w:w="300" w:type="dxa"/>
            <w:vAlign w:val="bottom"/>
            <w:tcBorders>
              <w:top w:val="single" w:sz="8" w:color="auto"/>
            </w:tcBorders>
            <w:shd w:val="clear" w:color="auto" w:fill="CFF0FC"/>
          </w:tcPr>
          <w:p>
            <w:pPr>
              <w:spacing w:after="0"/>
              <w:rPr>
                <w:sz w:val="13"/>
                <w:szCs w:val="13"/>
                <w:color w:val="auto"/>
              </w:rPr>
            </w:pPr>
          </w:p>
        </w:tc>
        <w:tc>
          <w:tcPr>
            <w:tcW w:w="1480" w:type="dxa"/>
            <w:vAlign w:val="bottom"/>
            <w:tcBorders>
              <w:top w:val="single" w:sz="8" w:color="auto"/>
            </w:tcBorders>
            <w:shd w:val="clear" w:color="auto" w:fill="CFF0FC"/>
          </w:tcPr>
          <w:p>
            <w:pPr>
              <w:spacing w:after="0"/>
              <w:rPr>
                <w:sz w:val="13"/>
                <w:szCs w:val="13"/>
                <w:color w:val="auto"/>
              </w:rPr>
            </w:pPr>
          </w:p>
        </w:tc>
        <w:tc>
          <w:tcPr>
            <w:tcW w:w="280" w:type="dxa"/>
            <w:vAlign w:val="bottom"/>
            <w:tcBorders>
              <w:left w:val="single" w:sz="8" w:color="CFF0FC"/>
            </w:tcBorders>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spacing w:after="0"/>
              <w:rPr>
                <w:sz w:val="13"/>
                <w:szCs w:val="13"/>
                <w:color w:val="auto"/>
              </w:rPr>
            </w:pPr>
          </w:p>
        </w:tc>
        <w:tc>
          <w:tcPr>
            <w:tcW w:w="160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720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300" w:type="dxa"/>
            <w:vAlign w:val="bottom"/>
          </w:tcPr>
          <w:p>
            <w:pPr>
              <w:jc w:val="right"/>
              <w:ind w:right="189"/>
              <w:spacing w:after="0"/>
              <w:rPr>
                <w:sz w:val="20"/>
                <w:szCs w:val="20"/>
                <w:color w:val="auto"/>
              </w:rPr>
            </w:pPr>
            <w:r>
              <w:rPr>
                <w:rFonts w:ascii="Arial" w:cs="Arial" w:eastAsia="Arial" w:hAnsi="Arial"/>
                <w:sz w:val="10"/>
                <w:szCs w:val="10"/>
                <w:color w:val="auto"/>
                <w:w w:val="71"/>
              </w:rPr>
              <w:t>$</w:t>
            </w:r>
          </w:p>
        </w:tc>
        <w:tc>
          <w:tcPr>
            <w:tcW w:w="1760" w:type="dxa"/>
            <w:vAlign w:val="bottom"/>
            <w:gridSpan w:val="2"/>
          </w:tcPr>
          <w:p>
            <w:pPr>
              <w:jc w:val="right"/>
              <w:ind w:right="280"/>
              <w:spacing w:after="0"/>
              <w:rPr>
                <w:sz w:val="20"/>
                <w:szCs w:val="20"/>
                <w:color w:val="auto"/>
              </w:rPr>
            </w:pPr>
            <w:r>
              <w:rPr>
                <w:rFonts w:ascii="Arial" w:cs="Arial" w:eastAsia="Arial" w:hAnsi="Arial"/>
                <w:sz w:val="14"/>
                <w:szCs w:val="14"/>
                <w:color w:val="auto"/>
              </w:rPr>
              <w:t>26,561</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700" w:type="dxa"/>
            <w:vAlign w:val="bottom"/>
            <w:gridSpan w:val="2"/>
          </w:tcPr>
          <w:p>
            <w:pPr>
              <w:jc w:val="right"/>
              <w:ind w:right="100"/>
              <w:spacing w:after="0"/>
              <w:rPr>
                <w:sz w:val="20"/>
                <w:szCs w:val="20"/>
                <w:color w:val="auto"/>
              </w:rPr>
            </w:pPr>
            <w:r>
              <w:rPr>
                <w:rFonts w:ascii="Arial" w:cs="Arial" w:eastAsia="Arial" w:hAnsi="Arial"/>
                <w:sz w:val="14"/>
                <w:szCs w:val="14"/>
                <w:color w:val="auto"/>
              </w:rPr>
              <w:t>22,664</w:t>
            </w:r>
          </w:p>
        </w:tc>
      </w:tr>
      <w:tr>
        <w:trPr>
          <w:trHeight w:val="162"/>
        </w:trPr>
        <w:tc>
          <w:tcPr>
            <w:tcW w:w="72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4"/>
                <w:szCs w:val="14"/>
                <w:color w:val="auto"/>
              </w:rPr>
              <w:t>Receivables, net</w:t>
            </w:r>
          </w:p>
        </w:tc>
        <w:tc>
          <w:tcPr>
            <w:tcW w:w="300" w:type="dxa"/>
            <w:vAlign w:val="bottom"/>
            <w:shd w:val="clear" w:color="auto" w:fill="CFF0FC"/>
          </w:tcPr>
          <w:p>
            <w:pPr>
              <w:spacing w:after="0"/>
              <w:rPr>
                <w:sz w:val="14"/>
                <w:szCs w:val="14"/>
                <w:color w:val="auto"/>
              </w:rPr>
            </w:pPr>
          </w:p>
        </w:tc>
        <w:tc>
          <w:tcPr>
            <w:tcW w:w="17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73,629</w:t>
            </w:r>
          </w:p>
        </w:tc>
        <w:tc>
          <w:tcPr>
            <w:tcW w:w="280" w:type="dxa"/>
            <w:vAlign w:val="bottom"/>
            <w:shd w:val="clear" w:color="auto" w:fill="CFF0FC"/>
          </w:tcPr>
          <w:p>
            <w:pPr>
              <w:spacing w:after="0"/>
              <w:rPr>
                <w:sz w:val="14"/>
                <w:szCs w:val="14"/>
                <w:color w:val="auto"/>
              </w:rPr>
            </w:pPr>
          </w:p>
        </w:tc>
        <w:tc>
          <w:tcPr>
            <w:tcW w:w="17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75,383</w:t>
            </w:r>
          </w:p>
        </w:tc>
      </w:tr>
      <w:tr>
        <w:trPr>
          <w:trHeight w:val="162"/>
        </w:trPr>
        <w:tc>
          <w:tcPr>
            <w:tcW w:w="7200" w:type="dxa"/>
            <w:vAlign w:val="bottom"/>
          </w:tcPr>
          <w:p>
            <w:pPr>
              <w:spacing w:after="0"/>
              <w:rPr>
                <w:sz w:val="20"/>
                <w:szCs w:val="20"/>
                <w:color w:val="auto"/>
              </w:rPr>
            </w:pPr>
            <w:r>
              <w:rPr>
                <w:rFonts w:ascii="Arial" w:cs="Arial" w:eastAsia="Arial" w:hAnsi="Arial"/>
                <w:sz w:val="14"/>
                <w:szCs w:val="14"/>
                <w:color w:val="auto"/>
              </w:rPr>
              <w:t>Inventories</w:t>
            </w:r>
          </w:p>
        </w:tc>
        <w:tc>
          <w:tcPr>
            <w:tcW w:w="3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103,931</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4"/>
                <w:szCs w:val="14"/>
                <w:color w:val="auto"/>
              </w:rPr>
              <w:t>122,929</w:t>
            </w:r>
          </w:p>
        </w:tc>
      </w:tr>
      <w:tr>
        <w:trPr>
          <w:trHeight w:val="162"/>
        </w:trPr>
        <w:tc>
          <w:tcPr>
            <w:tcW w:w="72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4"/>
                <w:szCs w:val="14"/>
                <w:color w:val="auto"/>
              </w:rPr>
              <w:t>Income taxes receivable</w:t>
            </w:r>
          </w:p>
        </w:tc>
        <w:tc>
          <w:tcPr>
            <w:tcW w:w="30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947</w:t>
            </w:r>
          </w:p>
        </w:tc>
        <w:tc>
          <w:tcPr>
            <w:tcW w:w="280" w:type="dxa"/>
            <w:vAlign w:val="bottom"/>
            <w:tcBorders>
              <w:left w:val="single" w:sz="8" w:color="CFF0FC"/>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7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5,429</w:t>
            </w:r>
          </w:p>
        </w:tc>
      </w:tr>
      <w:tr>
        <w:trPr>
          <w:trHeight w:val="162"/>
        </w:trPr>
        <w:tc>
          <w:tcPr>
            <w:tcW w:w="7200" w:type="dxa"/>
            <w:vAlign w:val="bottom"/>
          </w:tcPr>
          <w:p>
            <w:pPr>
              <w:spacing w:after="0"/>
              <w:rPr>
                <w:sz w:val="20"/>
                <w:szCs w:val="20"/>
                <w:color w:val="auto"/>
              </w:rPr>
            </w:pPr>
            <w:r>
              <w:rPr>
                <w:rFonts w:ascii="Arial" w:cs="Arial" w:eastAsia="Arial" w:hAnsi="Arial"/>
                <w:sz w:val="14"/>
                <w:szCs w:val="14"/>
                <w:color w:val="auto"/>
              </w:rPr>
              <w:t>Other current assets</w:t>
            </w:r>
          </w:p>
        </w:tc>
        <w:tc>
          <w:tcPr>
            <w:tcW w:w="3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7,337</w:t>
            </w: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9,222</w:t>
            </w:r>
          </w:p>
        </w:tc>
        <w:tc>
          <w:tcPr>
            <w:tcW w:w="100" w:type="dxa"/>
            <w:vAlign w:val="bottom"/>
          </w:tcPr>
          <w:p>
            <w:pPr>
              <w:spacing w:after="0"/>
              <w:rPr>
                <w:sz w:val="14"/>
                <w:szCs w:val="14"/>
                <w:color w:val="auto"/>
              </w:rPr>
            </w:pPr>
          </w:p>
        </w:tc>
      </w:tr>
      <w:tr>
        <w:trPr>
          <w:trHeight w:val="155"/>
        </w:trPr>
        <w:tc>
          <w:tcPr>
            <w:tcW w:w="7200" w:type="dxa"/>
            <w:vAlign w:val="bottom"/>
            <w:tcBorders>
              <w:bottom w:val="single" w:sz="8" w:color="CFF0FC"/>
              <w:right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Total current assets</w:t>
            </w:r>
          </w:p>
        </w:tc>
        <w:tc>
          <w:tcPr>
            <w:tcW w:w="300" w:type="dxa"/>
            <w:vAlign w:val="bottom"/>
            <w:tcBorders>
              <w:bottom w:val="single" w:sz="8" w:color="auto"/>
            </w:tcBorders>
            <w:shd w:val="clear" w:color="auto" w:fill="CFF0FC"/>
          </w:tcPr>
          <w:p>
            <w:pPr>
              <w:spacing w:after="0"/>
              <w:rPr>
                <w:sz w:val="13"/>
                <w:szCs w:val="13"/>
                <w:color w:val="auto"/>
              </w:rPr>
            </w:pPr>
          </w:p>
        </w:tc>
        <w:tc>
          <w:tcPr>
            <w:tcW w:w="14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212,405</w:t>
            </w:r>
          </w:p>
        </w:tc>
        <w:tc>
          <w:tcPr>
            <w:tcW w:w="280" w:type="dxa"/>
            <w:vAlign w:val="bottom"/>
            <w:tcBorders>
              <w:left w:val="single" w:sz="8" w:color="CFF0FC"/>
              <w:bottom w:val="single" w:sz="8" w:color="CFF0FC"/>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16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235,627</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156"/>
        </w:trPr>
        <w:tc>
          <w:tcPr>
            <w:tcW w:w="7200" w:type="dxa"/>
            <w:vAlign w:val="bottom"/>
          </w:tcPr>
          <w:p>
            <w:pPr>
              <w:spacing w:after="0" w:line="155" w:lineRule="exact"/>
              <w:rPr>
                <w:sz w:val="20"/>
                <w:szCs w:val="20"/>
                <w:color w:val="auto"/>
              </w:rPr>
            </w:pPr>
            <w:r>
              <w:rPr>
                <w:rFonts w:ascii="Arial" w:cs="Arial" w:eastAsia="Arial" w:hAnsi="Arial"/>
                <w:sz w:val="14"/>
                <w:szCs w:val="14"/>
                <w:color w:val="auto"/>
              </w:rPr>
              <w:t>Property, plant and equipment, net</w:t>
            </w:r>
          </w:p>
        </w:tc>
        <w:tc>
          <w:tcPr>
            <w:tcW w:w="300" w:type="dxa"/>
            <w:vAlign w:val="bottom"/>
          </w:tcPr>
          <w:p>
            <w:pPr>
              <w:spacing w:after="0"/>
              <w:rPr>
                <w:sz w:val="13"/>
                <w:szCs w:val="13"/>
                <w:color w:val="auto"/>
              </w:rPr>
            </w:pPr>
          </w:p>
        </w:tc>
        <w:tc>
          <w:tcPr>
            <w:tcW w:w="1480" w:type="dxa"/>
            <w:vAlign w:val="bottom"/>
          </w:tcPr>
          <w:p>
            <w:pPr>
              <w:jc w:val="right"/>
              <w:spacing w:after="0" w:line="155" w:lineRule="exact"/>
              <w:rPr>
                <w:sz w:val="20"/>
                <w:szCs w:val="20"/>
                <w:color w:val="auto"/>
              </w:rPr>
            </w:pPr>
            <w:r>
              <w:rPr>
                <w:rFonts w:ascii="Arial" w:cs="Arial" w:eastAsia="Arial" w:hAnsi="Arial"/>
                <w:sz w:val="14"/>
                <w:szCs w:val="14"/>
                <w:color w:val="auto"/>
              </w:rPr>
              <w:t>162,709</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0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172,923</w:t>
            </w:r>
          </w:p>
        </w:tc>
      </w:tr>
      <w:tr>
        <w:trPr>
          <w:trHeight w:val="162"/>
        </w:trPr>
        <w:tc>
          <w:tcPr>
            <w:tcW w:w="72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4"/>
                <w:szCs w:val="14"/>
                <w:color w:val="auto"/>
              </w:rPr>
              <w:t>Operating lease assets</w:t>
            </w:r>
          </w:p>
        </w:tc>
        <w:tc>
          <w:tcPr>
            <w:tcW w:w="30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7,119</w:t>
            </w:r>
          </w:p>
        </w:tc>
        <w:tc>
          <w:tcPr>
            <w:tcW w:w="280" w:type="dxa"/>
            <w:vAlign w:val="bottom"/>
            <w:tcBorders>
              <w:left w:val="single" w:sz="8" w:color="CFF0FC"/>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7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7,879</w:t>
            </w:r>
          </w:p>
        </w:tc>
      </w:tr>
      <w:tr>
        <w:trPr>
          <w:trHeight w:val="162"/>
        </w:trPr>
        <w:tc>
          <w:tcPr>
            <w:tcW w:w="7200" w:type="dxa"/>
            <w:vAlign w:val="bottom"/>
          </w:tcPr>
          <w:p>
            <w:pPr>
              <w:spacing w:after="0"/>
              <w:rPr>
                <w:sz w:val="20"/>
                <w:szCs w:val="20"/>
                <w:color w:val="auto"/>
              </w:rPr>
            </w:pPr>
            <w:r>
              <w:rPr>
                <w:rFonts w:ascii="Arial" w:cs="Arial" w:eastAsia="Arial" w:hAnsi="Arial"/>
                <w:sz w:val="14"/>
                <w:szCs w:val="14"/>
                <w:color w:val="auto"/>
              </w:rPr>
              <w:t>Deferred income taxes</w:t>
            </w:r>
          </w:p>
        </w:tc>
        <w:tc>
          <w:tcPr>
            <w:tcW w:w="3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5,476</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4"/>
                <w:szCs w:val="14"/>
                <w:color w:val="auto"/>
              </w:rPr>
              <w:t>5,535</w:t>
            </w:r>
          </w:p>
        </w:tc>
      </w:tr>
      <w:tr>
        <w:trPr>
          <w:trHeight w:val="162"/>
        </w:trPr>
        <w:tc>
          <w:tcPr>
            <w:tcW w:w="72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4"/>
                <w:szCs w:val="14"/>
                <w:color w:val="auto"/>
              </w:rPr>
              <w:t>Other non-current assets</w:t>
            </w:r>
          </w:p>
        </w:tc>
        <w:tc>
          <w:tcPr>
            <w:tcW w:w="30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4,665</w:t>
            </w:r>
          </w:p>
        </w:tc>
        <w:tc>
          <w:tcPr>
            <w:tcW w:w="280" w:type="dxa"/>
            <w:vAlign w:val="bottom"/>
            <w:tcBorders>
              <w:left w:val="single" w:sz="8" w:color="CFF0FC"/>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7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4,904</w:t>
            </w:r>
          </w:p>
        </w:tc>
      </w:tr>
      <w:tr>
        <w:trPr>
          <w:trHeight w:val="156"/>
        </w:trPr>
        <w:tc>
          <w:tcPr>
            <w:tcW w:w="7200" w:type="dxa"/>
            <w:vAlign w:val="bottom"/>
            <w:tcBorders>
              <w:top w:val="single" w:sz="8" w:color="CFF0FC"/>
              <w:bottom w:val="single" w:sz="8" w:color="CFF0FC"/>
            </w:tcBorders>
          </w:tcPr>
          <w:p>
            <w:pPr>
              <w:spacing w:after="0" w:line="155" w:lineRule="exact"/>
              <w:rPr>
                <w:sz w:val="20"/>
                <w:szCs w:val="20"/>
                <w:color w:val="auto"/>
              </w:rPr>
            </w:pPr>
            <w:r>
              <w:rPr>
                <w:rFonts w:ascii="Arial" w:cs="Arial" w:eastAsia="Arial" w:hAnsi="Arial"/>
                <w:sz w:val="14"/>
                <w:szCs w:val="14"/>
                <w:color w:val="auto"/>
              </w:rPr>
              <w:t>Total assets</w:t>
            </w:r>
          </w:p>
        </w:tc>
        <w:tc>
          <w:tcPr>
            <w:tcW w:w="30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1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392,374</w:t>
            </w:r>
          </w:p>
        </w:tc>
        <w:tc>
          <w:tcPr>
            <w:tcW w:w="280" w:type="dxa"/>
            <w:vAlign w:val="bottom"/>
            <w:tcBorders>
              <w:top w:val="single" w:sz="8" w:color="CFF0FC"/>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426,868</w:t>
            </w:r>
          </w:p>
        </w:tc>
        <w:tc>
          <w:tcPr>
            <w:tcW w:w="100" w:type="dxa"/>
            <w:vAlign w:val="bottom"/>
            <w:tcBorders>
              <w:top w:val="single" w:sz="8" w:color="CFF0FC"/>
              <w:bottom w:val="single" w:sz="8" w:color="CFF0FC"/>
            </w:tcBorders>
          </w:tcPr>
          <w:p>
            <w:pPr>
              <w:spacing w:after="0"/>
              <w:rPr>
                <w:sz w:val="13"/>
                <w:szCs w:val="13"/>
                <w:color w:val="auto"/>
              </w:rPr>
            </w:pPr>
          </w:p>
        </w:tc>
      </w:tr>
      <w:tr>
        <w:trPr>
          <w:trHeight w:val="20"/>
        </w:trPr>
        <w:tc>
          <w:tcPr>
            <w:tcW w:w="7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7200" w:type="dxa"/>
            <w:vAlign w:val="bottom"/>
            <w:tcBorders>
              <w:right w:val="single" w:sz="8" w:color="CFF0FC"/>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c>
          <w:tcPr>
            <w:tcW w:w="280" w:type="dxa"/>
            <w:vAlign w:val="bottom"/>
            <w:tcBorders>
              <w:left w:val="single" w:sz="8" w:color="CFF0FC"/>
            </w:tcBorders>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2"/>
        </w:trPr>
        <w:tc>
          <w:tcPr>
            <w:tcW w:w="7200" w:type="dxa"/>
            <w:vAlign w:val="bottom"/>
          </w:tcPr>
          <w:p>
            <w:pPr>
              <w:ind w:left="2020"/>
              <w:spacing w:after="0"/>
              <w:rPr>
                <w:sz w:val="20"/>
                <w:szCs w:val="20"/>
                <w:color w:val="auto"/>
              </w:rPr>
            </w:pPr>
            <w:r>
              <w:rPr>
                <w:rFonts w:ascii="Arial" w:cs="Arial" w:eastAsia="Arial" w:hAnsi="Arial"/>
                <w:sz w:val="14"/>
                <w:szCs w:val="14"/>
                <w:b w:val="1"/>
                <w:bCs w:val="1"/>
                <w:color w:val="auto"/>
              </w:rPr>
              <w:t>LIABILITIES AND SHAREHOLDERS’ EQUITY</w:t>
            </w:r>
          </w:p>
        </w:tc>
        <w:tc>
          <w:tcPr>
            <w:tcW w:w="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72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4"/>
                <w:szCs w:val="14"/>
                <w:color w:val="auto"/>
              </w:rPr>
              <w:t>Accounts payable</w:t>
            </w:r>
          </w:p>
        </w:tc>
        <w:tc>
          <w:tcPr>
            <w:tcW w:w="300" w:type="dxa"/>
            <w:vAlign w:val="bottom"/>
            <w:shd w:val="clear" w:color="auto" w:fill="CFF0FC"/>
          </w:tcPr>
          <w:p>
            <w:pPr>
              <w:jc w:val="right"/>
              <w:ind w:right="189"/>
              <w:spacing w:after="0"/>
              <w:rPr>
                <w:sz w:val="20"/>
                <w:szCs w:val="20"/>
                <w:color w:val="auto"/>
              </w:rPr>
            </w:pPr>
            <w:r>
              <w:rPr>
                <w:rFonts w:ascii="Arial" w:cs="Arial" w:eastAsia="Arial" w:hAnsi="Arial"/>
                <w:sz w:val="10"/>
                <w:szCs w:val="10"/>
                <w:color w:val="auto"/>
                <w:w w:val="71"/>
              </w:rPr>
              <w:t>$</w:t>
            </w:r>
          </w:p>
        </w:tc>
        <w:tc>
          <w:tcPr>
            <w:tcW w:w="17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36,211</w:t>
            </w: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7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37,468</w:t>
            </w:r>
          </w:p>
        </w:tc>
      </w:tr>
      <w:tr>
        <w:trPr>
          <w:trHeight w:val="162"/>
        </w:trPr>
        <w:tc>
          <w:tcPr>
            <w:tcW w:w="7200" w:type="dxa"/>
            <w:vAlign w:val="bottom"/>
          </w:tcPr>
          <w:p>
            <w:pPr>
              <w:spacing w:after="0"/>
              <w:rPr>
                <w:sz w:val="20"/>
                <w:szCs w:val="20"/>
                <w:color w:val="auto"/>
              </w:rPr>
            </w:pPr>
            <w:r>
              <w:rPr>
                <w:rFonts w:ascii="Arial" w:cs="Arial" w:eastAsia="Arial" w:hAnsi="Arial"/>
                <w:sz w:val="14"/>
                <w:szCs w:val="14"/>
                <w:color w:val="auto"/>
              </w:rPr>
              <w:t>Income taxes payable</w:t>
            </w:r>
          </w:p>
        </w:tc>
        <w:tc>
          <w:tcPr>
            <w:tcW w:w="3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661</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4"/>
                <w:szCs w:val="14"/>
                <w:color w:val="auto"/>
              </w:rPr>
              <w:t>49</w:t>
            </w:r>
          </w:p>
        </w:tc>
      </w:tr>
      <w:tr>
        <w:trPr>
          <w:trHeight w:val="162"/>
        </w:trPr>
        <w:tc>
          <w:tcPr>
            <w:tcW w:w="72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4"/>
                <w:szCs w:val="14"/>
                <w:color w:val="auto"/>
              </w:rPr>
              <w:t>Current operating lease liabilities</w:t>
            </w:r>
          </w:p>
        </w:tc>
        <w:tc>
          <w:tcPr>
            <w:tcW w:w="30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2,289</w:t>
            </w:r>
          </w:p>
        </w:tc>
        <w:tc>
          <w:tcPr>
            <w:tcW w:w="280" w:type="dxa"/>
            <w:vAlign w:val="bottom"/>
            <w:tcBorders>
              <w:left w:val="single" w:sz="8" w:color="CFF0FC"/>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7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2,368</w:t>
            </w:r>
          </w:p>
        </w:tc>
      </w:tr>
      <w:tr>
        <w:trPr>
          <w:trHeight w:val="162"/>
        </w:trPr>
        <w:tc>
          <w:tcPr>
            <w:tcW w:w="7200" w:type="dxa"/>
            <w:vAlign w:val="bottom"/>
          </w:tcPr>
          <w:p>
            <w:pPr>
              <w:spacing w:after="0"/>
              <w:rPr>
                <w:sz w:val="20"/>
                <w:szCs w:val="20"/>
                <w:color w:val="auto"/>
              </w:rPr>
            </w:pPr>
            <w:r>
              <w:rPr>
                <w:rFonts w:ascii="Arial" w:cs="Arial" w:eastAsia="Arial" w:hAnsi="Arial"/>
                <w:sz w:val="14"/>
                <w:szCs w:val="14"/>
                <w:color w:val="auto"/>
              </w:rPr>
              <w:t>Current portion of long-term debt</w:t>
            </w:r>
          </w:p>
        </w:tc>
        <w:tc>
          <w:tcPr>
            <w:tcW w:w="300" w:type="dxa"/>
            <w:vAlign w:val="bottom"/>
          </w:tcPr>
          <w:p>
            <w:pPr>
              <w:spacing w:after="0"/>
              <w:rPr>
                <w:sz w:val="14"/>
                <w:szCs w:val="14"/>
                <w:color w:val="auto"/>
              </w:rPr>
            </w:pPr>
          </w:p>
        </w:tc>
        <w:tc>
          <w:tcPr>
            <w:tcW w:w="1760" w:type="dxa"/>
            <w:vAlign w:val="bottom"/>
            <w:gridSpan w:val="2"/>
          </w:tcPr>
          <w:p>
            <w:pPr>
              <w:jc w:val="right"/>
              <w:ind w:right="280"/>
              <w:spacing w:after="0"/>
              <w:rPr>
                <w:sz w:val="20"/>
                <w:szCs w:val="20"/>
                <w:color w:val="auto"/>
              </w:rPr>
            </w:pPr>
            <w:r>
              <w:rPr>
                <w:rFonts w:ascii="Arial" w:cs="Arial" w:eastAsia="Arial" w:hAnsi="Arial"/>
                <w:sz w:val="14"/>
                <w:szCs w:val="14"/>
                <w:color w:val="auto"/>
              </w:rPr>
              <w:t>12,614</w:t>
            </w:r>
          </w:p>
        </w:tc>
        <w:tc>
          <w:tcPr>
            <w:tcW w:w="280" w:type="dxa"/>
            <w:vAlign w:val="bottom"/>
          </w:tcPr>
          <w:p>
            <w:pPr>
              <w:spacing w:after="0"/>
              <w:rPr>
                <w:sz w:val="14"/>
                <w:szCs w:val="14"/>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4"/>
                <w:szCs w:val="14"/>
                <w:color w:val="auto"/>
              </w:rPr>
              <w:t>12,159</w:t>
            </w:r>
          </w:p>
        </w:tc>
      </w:tr>
      <w:tr>
        <w:trPr>
          <w:trHeight w:val="162"/>
        </w:trPr>
        <w:tc>
          <w:tcPr>
            <w:tcW w:w="72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4"/>
                <w:szCs w:val="14"/>
                <w:color w:val="auto"/>
              </w:rPr>
              <w:t>Other current liabilities</w:t>
            </w:r>
          </w:p>
        </w:tc>
        <w:tc>
          <w:tcPr>
            <w:tcW w:w="300" w:type="dxa"/>
            <w:vAlign w:val="bottom"/>
            <w:shd w:val="clear" w:color="auto" w:fill="CFF0FC"/>
          </w:tcPr>
          <w:p>
            <w:pPr>
              <w:spacing w:after="0"/>
              <w:rPr>
                <w:sz w:val="14"/>
                <w:szCs w:val="14"/>
                <w:color w:val="auto"/>
              </w:rPr>
            </w:pPr>
          </w:p>
        </w:tc>
        <w:tc>
          <w:tcPr>
            <w:tcW w:w="17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16,308</w:t>
            </w:r>
          </w:p>
        </w:tc>
        <w:tc>
          <w:tcPr>
            <w:tcW w:w="280" w:type="dxa"/>
            <w:vAlign w:val="bottom"/>
            <w:shd w:val="clear" w:color="auto" w:fill="CFF0FC"/>
          </w:tcPr>
          <w:p>
            <w:pPr>
              <w:spacing w:after="0"/>
              <w:rPr>
                <w:sz w:val="14"/>
                <w:szCs w:val="14"/>
                <w:color w:val="auto"/>
              </w:rPr>
            </w:pPr>
          </w:p>
        </w:tc>
        <w:tc>
          <w:tcPr>
            <w:tcW w:w="17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18,899</w:t>
            </w:r>
          </w:p>
        </w:tc>
      </w:tr>
      <w:tr>
        <w:trPr>
          <w:trHeight w:val="20"/>
        </w:trPr>
        <w:tc>
          <w:tcPr>
            <w:tcW w:w="720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80" w:type="dxa"/>
            <w:vAlign w:val="bottom"/>
            <w:tcBorders>
              <w:left w:val="single" w:sz="8" w:color="CFF0FC"/>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55"/>
        </w:trPr>
        <w:tc>
          <w:tcPr>
            <w:tcW w:w="7200" w:type="dxa"/>
            <w:vAlign w:val="bottom"/>
          </w:tcPr>
          <w:p>
            <w:pPr>
              <w:spacing w:after="0" w:line="155" w:lineRule="exact"/>
              <w:rPr>
                <w:sz w:val="20"/>
                <w:szCs w:val="20"/>
                <w:color w:val="auto"/>
              </w:rPr>
            </w:pPr>
            <w:r>
              <w:rPr>
                <w:rFonts w:ascii="Arial" w:cs="Arial" w:eastAsia="Arial" w:hAnsi="Arial"/>
                <w:sz w:val="14"/>
                <w:szCs w:val="14"/>
                <w:color w:val="auto"/>
              </w:rPr>
              <w:t>Total current liabilities</w:t>
            </w:r>
          </w:p>
        </w:tc>
        <w:tc>
          <w:tcPr>
            <w:tcW w:w="300" w:type="dxa"/>
            <w:vAlign w:val="bottom"/>
          </w:tcPr>
          <w:p>
            <w:pPr>
              <w:spacing w:after="0"/>
              <w:rPr>
                <w:sz w:val="13"/>
                <w:szCs w:val="13"/>
                <w:color w:val="auto"/>
              </w:rPr>
            </w:pPr>
          </w:p>
        </w:tc>
        <w:tc>
          <w:tcPr>
            <w:tcW w:w="176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68,083</w:t>
            </w:r>
          </w:p>
        </w:tc>
        <w:tc>
          <w:tcPr>
            <w:tcW w:w="280" w:type="dxa"/>
            <w:vAlign w:val="bottom"/>
          </w:tcPr>
          <w:p>
            <w:pPr>
              <w:spacing w:after="0"/>
              <w:rPr>
                <w:sz w:val="13"/>
                <w:szCs w:val="13"/>
                <w:color w:val="auto"/>
              </w:rPr>
            </w:pPr>
          </w:p>
        </w:tc>
        <w:tc>
          <w:tcPr>
            <w:tcW w:w="170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70,943</w:t>
            </w:r>
          </w:p>
        </w:tc>
      </w:tr>
      <w:tr>
        <w:trPr>
          <w:trHeight w:val="20"/>
        </w:trPr>
        <w:tc>
          <w:tcPr>
            <w:tcW w:w="7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7200" w:type="dxa"/>
            <w:vAlign w:val="bottom"/>
            <w:tcBorders>
              <w:right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Long-term debt</w:t>
            </w:r>
          </w:p>
        </w:tc>
        <w:tc>
          <w:tcPr>
            <w:tcW w:w="300" w:type="dxa"/>
            <w:vAlign w:val="bottom"/>
            <w:shd w:val="clear" w:color="auto" w:fill="CFF0FC"/>
          </w:tcPr>
          <w:p>
            <w:pPr>
              <w:spacing w:after="0"/>
              <w:rPr>
                <w:sz w:val="13"/>
                <w:szCs w:val="13"/>
                <w:color w:val="auto"/>
              </w:rPr>
            </w:pPr>
          </w:p>
        </w:tc>
        <w:tc>
          <w:tcPr>
            <w:tcW w:w="1760" w:type="dxa"/>
            <w:vAlign w:val="bottom"/>
            <w:gridSpan w:val="2"/>
            <w:shd w:val="clear" w:color="auto" w:fill="CFF0FC"/>
          </w:tcPr>
          <w:p>
            <w:pPr>
              <w:jc w:val="right"/>
              <w:ind w:right="280"/>
              <w:spacing w:after="0" w:line="155" w:lineRule="exact"/>
              <w:rPr>
                <w:sz w:val="20"/>
                <w:szCs w:val="20"/>
                <w:color w:val="auto"/>
              </w:rPr>
            </w:pPr>
            <w:r>
              <w:rPr>
                <w:rFonts w:ascii="Arial" w:cs="Arial" w:eastAsia="Arial" w:hAnsi="Arial"/>
                <w:sz w:val="14"/>
                <w:szCs w:val="14"/>
                <w:color w:val="auto"/>
              </w:rPr>
              <w:t>82,242</w:t>
            </w:r>
          </w:p>
        </w:tc>
        <w:tc>
          <w:tcPr>
            <w:tcW w:w="280" w:type="dxa"/>
            <w:vAlign w:val="bottom"/>
            <w:shd w:val="clear" w:color="auto" w:fill="CFF0FC"/>
          </w:tcPr>
          <w:p>
            <w:pPr>
              <w:spacing w:after="0"/>
              <w:rPr>
                <w:sz w:val="13"/>
                <w:szCs w:val="13"/>
                <w:color w:val="auto"/>
              </w:rPr>
            </w:pPr>
          </w:p>
        </w:tc>
        <w:tc>
          <w:tcPr>
            <w:tcW w:w="1700" w:type="dxa"/>
            <w:vAlign w:val="bottom"/>
            <w:gridSpan w:val="2"/>
            <w:shd w:val="clear" w:color="auto" w:fill="CFF0FC"/>
          </w:tcPr>
          <w:p>
            <w:pPr>
              <w:jc w:val="right"/>
              <w:ind w:right="100"/>
              <w:spacing w:after="0" w:line="155" w:lineRule="exact"/>
              <w:rPr>
                <w:sz w:val="20"/>
                <w:szCs w:val="20"/>
                <w:color w:val="auto"/>
              </w:rPr>
            </w:pPr>
            <w:r>
              <w:rPr>
                <w:rFonts w:ascii="Arial" w:cs="Arial" w:eastAsia="Arial" w:hAnsi="Arial"/>
                <w:sz w:val="14"/>
                <w:szCs w:val="14"/>
                <w:color w:val="auto"/>
              </w:rPr>
              <w:t>95,727</w:t>
            </w:r>
          </w:p>
        </w:tc>
      </w:tr>
      <w:tr>
        <w:trPr>
          <w:trHeight w:val="162"/>
        </w:trPr>
        <w:tc>
          <w:tcPr>
            <w:tcW w:w="7200" w:type="dxa"/>
            <w:vAlign w:val="bottom"/>
          </w:tcPr>
          <w:p>
            <w:pPr>
              <w:spacing w:after="0"/>
              <w:rPr>
                <w:sz w:val="20"/>
                <w:szCs w:val="20"/>
                <w:color w:val="auto"/>
              </w:rPr>
            </w:pPr>
            <w:r>
              <w:rPr>
                <w:rFonts w:ascii="Arial" w:cs="Arial" w:eastAsia="Arial" w:hAnsi="Arial"/>
                <w:sz w:val="14"/>
                <w:szCs w:val="14"/>
                <w:color w:val="auto"/>
              </w:rPr>
              <w:t>Non-current operating lease liabilities</w:t>
            </w:r>
          </w:p>
        </w:tc>
        <w:tc>
          <w:tcPr>
            <w:tcW w:w="3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4,878</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4"/>
                <w:szCs w:val="14"/>
                <w:color w:val="auto"/>
              </w:rPr>
              <w:t>5,614</w:t>
            </w:r>
          </w:p>
        </w:tc>
      </w:tr>
      <w:tr>
        <w:trPr>
          <w:trHeight w:val="162"/>
        </w:trPr>
        <w:tc>
          <w:tcPr>
            <w:tcW w:w="72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4"/>
                <w:szCs w:val="14"/>
                <w:color w:val="auto"/>
              </w:rPr>
              <w:t>Deferred income taxes</w:t>
            </w:r>
          </w:p>
        </w:tc>
        <w:tc>
          <w:tcPr>
            <w:tcW w:w="30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1,178</w:t>
            </w:r>
          </w:p>
        </w:tc>
        <w:tc>
          <w:tcPr>
            <w:tcW w:w="280" w:type="dxa"/>
            <w:vAlign w:val="bottom"/>
            <w:tcBorders>
              <w:left w:val="single" w:sz="8" w:color="CFF0FC"/>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7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1,224</w:t>
            </w:r>
          </w:p>
        </w:tc>
      </w:tr>
      <w:tr>
        <w:trPr>
          <w:trHeight w:val="162"/>
        </w:trPr>
        <w:tc>
          <w:tcPr>
            <w:tcW w:w="7200" w:type="dxa"/>
            <w:vAlign w:val="bottom"/>
          </w:tcPr>
          <w:p>
            <w:pPr>
              <w:spacing w:after="0"/>
              <w:rPr>
                <w:sz w:val="20"/>
                <w:szCs w:val="20"/>
                <w:color w:val="auto"/>
              </w:rPr>
            </w:pPr>
            <w:r>
              <w:rPr>
                <w:rFonts w:ascii="Arial" w:cs="Arial" w:eastAsia="Arial" w:hAnsi="Arial"/>
                <w:sz w:val="14"/>
                <w:szCs w:val="14"/>
                <w:color w:val="auto"/>
              </w:rPr>
              <w:t>Other long-term liabilities</w:t>
            </w:r>
          </w:p>
        </w:tc>
        <w:tc>
          <w:tcPr>
            <w:tcW w:w="3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4,122</w:t>
            </w: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3,889</w:t>
            </w:r>
          </w:p>
        </w:tc>
        <w:tc>
          <w:tcPr>
            <w:tcW w:w="100" w:type="dxa"/>
            <w:vAlign w:val="bottom"/>
          </w:tcPr>
          <w:p>
            <w:pPr>
              <w:spacing w:after="0"/>
              <w:rPr>
                <w:sz w:val="14"/>
                <w:szCs w:val="14"/>
                <w:color w:val="auto"/>
              </w:rPr>
            </w:pPr>
          </w:p>
        </w:tc>
      </w:tr>
      <w:tr>
        <w:trPr>
          <w:trHeight w:val="156"/>
        </w:trPr>
        <w:tc>
          <w:tcPr>
            <w:tcW w:w="7200" w:type="dxa"/>
            <w:vAlign w:val="bottom"/>
            <w:tcBorders>
              <w:right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Total liabilities</w:t>
            </w:r>
          </w:p>
        </w:tc>
        <w:tc>
          <w:tcPr>
            <w:tcW w:w="300" w:type="dxa"/>
            <w:vAlign w:val="bottom"/>
            <w:shd w:val="clear" w:color="auto" w:fill="CFF0FC"/>
          </w:tcPr>
          <w:p>
            <w:pPr>
              <w:spacing w:after="0"/>
              <w:rPr>
                <w:sz w:val="13"/>
                <w:szCs w:val="13"/>
                <w:color w:val="auto"/>
              </w:rPr>
            </w:pPr>
          </w:p>
        </w:tc>
        <w:tc>
          <w:tcPr>
            <w:tcW w:w="14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160,503</w:t>
            </w:r>
          </w:p>
        </w:tc>
        <w:tc>
          <w:tcPr>
            <w:tcW w:w="280" w:type="dxa"/>
            <w:vAlign w:val="bottom"/>
            <w:tcBorders>
              <w:left w:val="single" w:sz="8" w:color="CFF0FC"/>
            </w:tcBorders>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700" w:type="dxa"/>
            <w:vAlign w:val="bottom"/>
            <w:gridSpan w:val="2"/>
            <w:shd w:val="clear" w:color="auto" w:fill="CFF0FC"/>
          </w:tcPr>
          <w:p>
            <w:pPr>
              <w:jc w:val="right"/>
              <w:ind w:right="100"/>
              <w:spacing w:after="0" w:line="155" w:lineRule="exact"/>
              <w:rPr>
                <w:sz w:val="20"/>
                <w:szCs w:val="20"/>
                <w:color w:val="auto"/>
              </w:rPr>
            </w:pPr>
            <w:r>
              <w:rPr>
                <w:rFonts w:ascii="Arial" w:cs="Arial" w:eastAsia="Arial" w:hAnsi="Arial"/>
                <w:sz w:val="14"/>
                <w:szCs w:val="14"/>
                <w:color w:val="auto"/>
              </w:rPr>
              <w:t>177,397</w:t>
            </w:r>
          </w:p>
        </w:tc>
      </w:tr>
      <w:tr>
        <w:trPr>
          <w:trHeight w:val="155"/>
        </w:trPr>
        <w:tc>
          <w:tcPr>
            <w:tcW w:w="7200" w:type="dxa"/>
            <w:vAlign w:val="bottom"/>
            <w:tcBorders>
              <w:top w:val="single" w:sz="8" w:color="CFF0FC"/>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280" w:type="dxa"/>
            <w:vAlign w:val="bottom"/>
            <w:tcBorders>
              <w:top w:val="single" w:sz="8" w:color="CFF0FC"/>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r>
      <w:tr>
        <w:trPr>
          <w:trHeight w:val="162"/>
        </w:trPr>
        <w:tc>
          <w:tcPr>
            <w:tcW w:w="72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4"/>
                <w:szCs w:val="14"/>
                <w:color w:val="auto"/>
              </w:rPr>
              <w:t>Commitments and contingencies</w:t>
            </w:r>
          </w:p>
        </w:tc>
        <w:tc>
          <w:tcPr>
            <w:tcW w:w="30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c>
          <w:tcPr>
            <w:tcW w:w="280" w:type="dxa"/>
            <w:vAlign w:val="bottom"/>
            <w:tcBorders>
              <w:left w:val="single" w:sz="8" w:color="CFF0FC"/>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7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3"/>
        </w:trPr>
        <w:tc>
          <w:tcPr>
            <w:tcW w:w="7200" w:type="dxa"/>
            <w:vAlign w:val="bottom"/>
            <w:tcBorders>
              <w:right w:val="single" w:sz="8" w:color="CFF0FC"/>
            </w:tcBorders>
            <w:shd w:val="clear" w:color="auto" w:fill="CFF0FC"/>
          </w:tcPr>
          <w:p>
            <w:pPr>
              <w:spacing w:after="0" w:line="153" w:lineRule="exact"/>
              <w:rPr>
                <w:sz w:val="20"/>
                <w:szCs w:val="20"/>
                <w:color w:val="auto"/>
              </w:rPr>
            </w:pPr>
            <w:r>
              <w:rPr>
                <w:rFonts w:ascii="Arial" w:cs="Arial" w:eastAsia="Arial" w:hAnsi="Arial"/>
                <w:sz w:val="14"/>
                <w:szCs w:val="14"/>
                <w:color w:val="auto"/>
              </w:rPr>
              <w:t>Common stock, $0.10 par value (500,000,000 shares authorized; 18,587,254 and 18,360,663</w:t>
            </w:r>
          </w:p>
        </w:tc>
        <w:tc>
          <w:tcPr>
            <w:tcW w:w="30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280" w:type="dxa"/>
            <w:vAlign w:val="bottom"/>
            <w:tcBorders>
              <w:left w:val="single" w:sz="8" w:color="CFF0FC"/>
            </w:tcBorders>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6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1"/>
        </w:trPr>
        <w:tc>
          <w:tcPr>
            <w:tcW w:w="7200" w:type="dxa"/>
            <w:vAlign w:val="bottom"/>
            <w:tcBorders>
              <w:right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shares issued and outstanding as of March 29, 2026 and June 29, 2025, respectively)</w:t>
            </w:r>
          </w:p>
        </w:tc>
        <w:tc>
          <w:tcPr>
            <w:tcW w:w="30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1,859</w:t>
            </w:r>
          </w:p>
        </w:tc>
        <w:tc>
          <w:tcPr>
            <w:tcW w:w="280" w:type="dxa"/>
            <w:vAlign w:val="bottom"/>
            <w:tcBorders>
              <w:left w:val="single" w:sz="8" w:color="CFF0FC"/>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7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1,836</w:t>
            </w:r>
          </w:p>
        </w:tc>
      </w:tr>
      <w:tr>
        <w:trPr>
          <w:trHeight w:val="162"/>
        </w:trPr>
        <w:tc>
          <w:tcPr>
            <w:tcW w:w="7200" w:type="dxa"/>
            <w:vAlign w:val="bottom"/>
          </w:tcPr>
          <w:p>
            <w:pPr>
              <w:spacing w:after="0"/>
              <w:rPr>
                <w:sz w:val="20"/>
                <w:szCs w:val="20"/>
                <w:color w:val="auto"/>
              </w:rPr>
            </w:pPr>
            <w:r>
              <w:rPr>
                <w:rFonts w:ascii="Arial" w:cs="Arial" w:eastAsia="Arial" w:hAnsi="Arial"/>
                <w:sz w:val="14"/>
                <w:szCs w:val="14"/>
                <w:color w:val="auto"/>
              </w:rPr>
              <w:t>Capital in excess of par value</w:t>
            </w:r>
          </w:p>
        </w:tc>
        <w:tc>
          <w:tcPr>
            <w:tcW w:w="300" w:type="dxa"/>
            <w:vAlign w:val="bottom"/>
          </w:tcPr>
          <w:p>
            <w:pPr>
              <w:spacing w:after="0"/>
              <w:rPr>
                <w:sz w:val="14"/>
                <w:szCs w:val="14"/>
                <w:color w:val="auto"/>
              </w:rPr>
            </w:pPr>
          </w:p>
        </w:tc>
        <w:tc>
          <w:tcPr>
            <w:tcW w:w="1760" w:type="dxa"/>
            <w:vAlign w:val="bottom"/>
            <w:gridSpan w:val="2"/>
          </w:tcPr>
          <w:p>
            <w:pPr>
              <w:jc w:val="right"/>
              <w:ind w:right="280"/>
              <w:spacing w:after="0"/>
              <w:rPr>
                <w:sz w:val="20"/>
                <w:szCs w:val="20"/>
                <w:color w:val="auto"/>
              </w:rPr>
            </w:pPr>
            <w:r>
              <w:rPr>
                <w:rFonts w:ascii="Arial" w:cs="Arial" w:eastAsia="Arial" w:hAnsi="Arial"/>
                <w:sz w:val="14"/>
                <w:szCs w:val="14"/>
                <w:color w:val="auto"/>
              </w:rPr>
              <w:t>76,254</w:t>
            </w:r>
          </w:p>
        </w:tc>
        <w:tc>
          <w:tcPr>
            <w:tcW w:w="280" w:type="dxa"/>
            <w:vAlign w:val="bottom"/>
          </w:tcPr>
          <w:p>
            <w:pPr>
              <w:spacing w:after="0"/>
              <w:rPr>
                <w:sz w:val="14"/>
                <w:szCs w:val="14"/>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4"/>
                <w:szCs w:val="14"/>
                <w:color w:val="auto"/>
              </w:rPr>
              <w:t>74,095</w:t>
            </w:r>
          </w:p>
        </w:tc>
      </w:tr>
      <w:tr>
        <w:trPr>
          <w:trHeight w:val="162"/>
        </w:trPr>
        <w:tc>
          <w:tcPr>
            <w:tcW w:w="72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4"/>
                <w:szCs w:val="14"/>
                <w:color w:val="auto"/>
              </w:rPr>
              <w:t>Retained earnings</w:t>
            </w:r>
          </w:p>
        </w:tc>
        <w:tc>
          <w:tcPr>
            <w:tcW w:w="30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215,680</w:t>
            </w:r>
          </w:p>
        </w:tc>
        <w:tc>
          <w:tcPr>
            <w:tcW w:w="280" w:type="dxa"/>
            <w:vAlign w:val="bottom"/>
            <w:tcBorders>
              <w:left w:val="single" w:sz="8" w:color="CFF0FC"/>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7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239,049</w:t>
            </w:r>
          </w:p>
        </w:tc>
      </w:tr>
      <w:tr>
        <w:trPr>
          <w:trHeight w:val="162"/>
        </w:trPr>
        <w:tc>
          <w:tcPr>
            <w:tcW w:w="7200" w:type="dxa"/>
            <w:vAlign w:val="bottom"/>
          </w:tcPr>
          <w:p>
            <w:pPr>
              <w:spacing w:after="0"/>
              <w:rPr>
                <w:sz w:val="20"/>
                <w:szCs w:val="20"/>
                <w:color w:val="auto"/>
              </w:rPr>
            </w:pPr>
            <w:r>
              <w:rPr>
                <w:rFonts w:ascii="Arial" w:cs="Arial" w:eastAsia="Arial" w:hAnsi="Arial"/>
                <w:sz w:val="14"/>
                <w:szCs w:val="14"/>
                <w:color w:val="auto"/>
              </w:rPr>
              <w:t>Accumulated other comprehensive loss</w:t>
            </w:r>
          </w:p>
        </w:tc>
        <w:tc>
          <w:tcPr>
            <w:tcW w:w="300" w:type="dxa"/>
            <w:vAlign w:val="bottom"/>
          </w:tcPr>
          <w:p>
            <w:pPr>
              <w:spacing w:after="0"/>
              <w:rPr>
                <w:sz w:val="14"/>
                <w:szCs w:val="14"/>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4"/>
                <w:szCs w:val="14"/>
                <w:color w:val="auto"/>
              </w:rPr>
              <w:t>(61,922)</w:t>
            </w:r>
          </w:p>
        </w:tc>
        <w:tc>
          <w:tcPr>
            <w:tcW w:w="280" w:type="dxa"/>
            <w:vAlign w:val="bottom"/>
          </w:tcPr>
          <w:p>
            <w:pPr>
              <w:spacing w:after="0"/>
              <w:rPr>
                <w:sz w:val="14"/>
                <w:szCs w:val="14"/>
                <w:color w:val="auto"/>
              </w:rPr>
            </w:pPr>
          </w:p>
        </w:tc>
        <w:tc>
          <w:tcPr>
            <w:tcW w:w="1700" w:type="dxa"/>
            <w:vAlign w:val="bottom"/>
            <w:gridSpan w:val="2"/>
          </w:tcPr>
          <w:p>
            <w:pPr>
              <w:jc w:val="right"/>
              <w:ind w:right="60"/>
              <w:spacing w:after="0"/>
              <w:rPr>
                <w:sz w:val="20"/>
                <w:szCs w:val="20"/>
                <w:color w:val="auto"/>
              </w:rPr>
            </w:pPr>
            <w:r>
              <w:rPr>
                <w:rFonts w:ascii="Arial" w:cs="Arial" w:eastAsia="Arial" w:hAnsi="Arial"/>
                <w:sz w:val="14"/>
                <w:szCs w:val="14"/>
                <w:color w:val="auto"/>
              </w:rPr>
              <w:t>(65,509)</w:t>
            </w:r>
          </w:p>
        </w:tc>
      </w:tr>
      <w:tr>
        <w:trPr>
          <w:trHeight w:val="155"/>
        </w:trPr>
        <w:tc>
          <w:tcPr>
            <w:tcW w:w="7200" w:type="dxa"/>
            <w:vAlign w:val="bottom"/>
            <w:tcBorders>
              <w:bottom w:val="single" w:sz="8" w:color="CFF0FC"/>
              <w:right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Total shareholders’ equity</w:t>
            </w:r>
          </w:p>
        </w:tc>
        <w:tc>
          <w:tcPr>
            <w:tcW w:w="300" w:type="dxa"/>
            <w:vAlign w:val="bottom"/>
            <w:tcBorders>
              <w:top w:val="single" w:sz="8" w:color="auto"/>
              <w:bottom w:val="single" w:sz="8" w:color="auto"/>
            </w:tcBorders>
            <w:shd w:val="clear" w:color="auto" w:fill="CFF0FC"/>
          </w:tcPr>
          <w:p>
            <w:pPr>
              <w:spacing w:after="0"/>
              <w:rPr>
                <w:sz w:val="13"/>
                <w:szCs w:val="13"/>
                <w:color w:val="auto"/>
              </w:rPr>
            </w:pPr>
          </w:p>
        </w:tc>
        <w:tc>
          <w:tcPr>
            <w:tcW w:w="14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231,871</w:t>
            </w:r>
          </w:p>
        </w:tc>
        <w:tc>
          <w:tcPr>
            <w:tcW w:w="280" w:type="dxa"/>
            <w:vAlign w:val="bottom"/>
            <w:tcBorders>
              <w:left w:val="single" w:sz="8" w:color="CFF0FC"/>
              <w:bottom w:val="single" w:sz="8" w:color="CFF0FC"/>
            </w:tcBorders>
            <w:shd w:val="clear" w:color="auto" w:fill="CFF0FC"/>
          </w:tcPr>
          <w:p>
            <w:pPr>
              <w:spacing w:after="0"/>
              <w:rPr>
                <w:sz w:val="13"/>
                <w:szCs w:val="13"/>
                <w:color w:val="auto"/>
              </w:rPr>
            </w:pPr>
          </w:p>
        </w:tc>
        <w:tc>
          <w:tcPr>
            <w:tcW w:w="280" w:type="dxa"/>
            <w:vAlign w:val="bottom"/>
            <w:tcBorders>
              <w:top w:val="single" w:sz="8" w:color="auto"/>
              <w:bottom w:val="single" w:sz="8" w:color="auto"/>
            </w:tcBorders>
            <w:shd w:val="clear" w:color="auto" w:fill="CFF0FC"/>
          </w:tcPr>
          <w:p>
            <w:pPr>
              <w:spacing w:after="0"/>
              <w:rPr>
                <w:sz w:val="13"/>
                <w:szCs w:val="13"/>
                <w:color w:val="auto"/>
              </w:rPr>
            </w:pPr>
          </w:p>
        </w:tc>
        <w:tc>
          <w:tcPr>
            <w:tcW w:w="16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249,471</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155"/>
        </w:trPr>
        <w:tc>
          <w:tcPr>
            <w:tcW w:w="7200" w:type="dxa"/>
            <w:vAlign w:val="bottom"/>
          </w:tcPr>
          <w:p>
            <w:pPr>
              <w:spacing w:after="0" w:line="155" w:lineRule="exact"/>
              <w:rPr>
                <w:sz w:val="20"/>
                <w:szCs w:val="20"/>
                <w:color w:val="auto"/>
              </w:rPr>
            </w:pPr>
            <w:r>
              <w:rPr>
                <w:rFonts w:ascii="Arial" w:cs="Arial" w:eastAsia="Arial" w:hAnsi="Arial"/>
                <w:sz w:val="14"/>
                <w:szCs w:val="14"/>
                <w:color w:val="auto"/>
              </w:rPr>
              <w:t>Total liabilities and shareholders’ equity</w:t>
            </w:r>
          </w:p>
        </w:tc>
        <w:tc>
          <w:tcPr>
            <w:tcW w:w="30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1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392,374</w:t>
            </w:r>
          </w:p>
        </w:tc>
        <w:tc>
          <w:tcPr>
            <w:tcW w:w="280" w:type="dxa"/>
            <w:vAlign w:val="bottom"/>
          </w:tcPr>
          <w:p>
            <w:pPr>
              <w:spacing w:after="0"/>
              <w:rPr>
                <w:sz w:val="13"/>
                <w:szCs w:val="13"/>
                <w:color w:val="auto"/>
              </w:rPr>
            </w:pPr>
          </w:p>
        </w:tc>
        <w:tc>
          <w:tcPr>
            <w:tcW w:w="28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426,868</w:t>
            </w:r>
          </w:p>
        </w:tc>
        <w:tc>
          <w:tcPr>
            <w:tcW w:w="100" w:type="dxa"/>
            <w:vAlign w:val="bottom"/>
          </w:tcPr>
          <w:p>
            <w:pPr>
              <w:spacing w:after="0"/>
              <w:rPr>
                <w:sz w:val="13"/>
                <w:szCs w:val="13"/>
                <w:color w:val="auto"/>
              </w:rPr>
            </w:pPr>
          </w:p>
        </w:tc>
      </w:tr>
      <w:tr>
        <w:trPr>
          <w:trHeight w:val="20"/>
        </w:trPr>
        <w:tc>
          <w:tcPr>
            <w:tcW w:w="7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-2999740</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-2999740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-2579370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-2579370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-1722120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-1722120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-1079500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-136525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4"/>
          <w:szCs w:val="14"/>
          <w:b w:val="1"/>
          <w:bCs w:val="1"/>
          <w:color w:val="auto"/>
        </w:rPr>
        <w:t>CONDENSED CONSOLIDATED STATEMENTS OF OPERATIONS AND COMPREHENSIVE INCOME (LOSS)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amounts)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8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For the Three Months Ended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4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For the Nine Months Ended</w:t>
            </w:r>
          </w:p>
        </w:tc>
      </w:tr>
      <w:tr>
        <w:trPr>
          <w:trHeight w:val="156"/>
        </w:trPr>
        <w:tc>
          <w:tcPr>
            <w:tcW w:w="3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400" w:type="dxa"/>
            <w:vAlign w:val="bottom"/>
            <w:tcBorders>
              <w:top w:val="single" w:sz="8" w:color="auto"/>
              <w:bottom w:val="single" w:sz="8" w:color="auto"/>
            </w:tcBorders>
          </w:tcPr>
          <w:p>
            <w:pPr>
              <w:jc w:val="right"/>
              <w:ind w:right="248"/>
              <w:spacing w:after="0" w:line="155" w:lineRule="exact"/>
              <w:rPr>
                <w:sz w:val="20"/>
                <w:szCs w:val="20"/>
                <w:color w:val="auto"/>
              </w:rPr>
            </w:pPr>
            <w:r>
              <w:rPr>
                <w:rFonts w:ascii="Arial" w:cs="Arial" w:eastAsia="Arial" w:hAnsi="Arial"/>
                <w:sz w:val="14"/>
                <w:szCs w:val="14"/>
                <w:b w:val="1"/>
                <w:bCs w:val="1"/>
                <w:color w:val="auto"/>
              </w:rPr>
              <w:t>March 29, 2026</w:t>
            </w:r>
          </w:p>
        </w:tc>
        <w:tc>
          <w:tcPr>
            <w:tcW w:w="260" w:type="dxa"/>
            <w:vAlign w:val="bottom"/>
            <w:tcBorders>
              <w:top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400" w:type="dxa"/>
            <w:vAlign w:val="bottom"/>
            <w:tcBorders>
              <w:top w:val="single" w:sz="8" w:color="auto"/>
              <w:bottom w:val="single" w:sz="8" w:color="auto"/>
            </w:tcBorders>
          </w:tcPr>
          <w:p>
            <w:pPr>
              <w:jc w:val="right"/>
              <w:ind w:right="248"/>
              <w:spacing w:after="0" w:line="155" w:lineRule="exact"/>
              <w:rPr>
                <w:sz w:val="20"/>
                <w:szCs w:val="20"/>
                <w:color w:val="auto"/>
              </w:rPr>
            </w:pPr>
            <w:r>
              <w:rPr>
                <w:rFonts w:ascii="Arial" w:cs="Arial" w:eastAsia="Arial" w:hAnsi="Arial"/>
                <w:sz w:val="14"/>
                <w:szCs w:val="14"/>
                <w:b w:val="1"/>
                <w:bCs w:val="1"/>
                <w:color w:val="auto"/>
              </w:rPr>
              <w:t>March 30, 2025</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420" w:type="dxa"/>
            <w:vAlign w:val="bottom"/>
            <w:tcBorders>
              <w:top w:val="single" w:sz="8" w:color="auto"/>
              <w:bottom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March 29, 2026</w:t>
            </w:r>
          </w:p>
        </w:tc>
        <w:tc>
          <w:tcPr>
            <w:tcW w:w="30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440" w:type="dxa"/>
            <w:vAlign w:val="bottom"/>
            <w:tcBorders>
              <w:top w:val="single" w:sz="8" w:color="auto"/>
              <w:bottom w:val="single" w:sz="8" w:color="auto"/>
            </w:tcBorders>
          </w:tcPr>
          <w:p>
            <w:pPr>
              <w:jc w:val="right"/>
              <w:ind w:right="248"/>
              <w:spacing w:after="0" w:line="155" w:lineRule="exact"/>
              <w:rPr>
                <w:sz w:val="20"/>
                <w:szCs w:val="20"/>
                <w:color w:val="auto"/>
              </w:rPr>
            </w:pPr>
            <w:r>
              <w:rPr>
                <w:rFonts w:ascii="Arial" w:cs="Arial" w:eastAsia="Arial" w:hAnsi="Arial"/>
                <w:sz w:val="14"/>
                <w:szCs w:val="14"/>
                <w:b w:val="1"/>
                <w:bCs w:val="1"/>
                <w:color w:val="auto"/>
              </w:rPr>
              <w:t>March 30, 2025</w:t>
            </w:r>
          </w:p>
        </w:tc>
        <w:tc>
          <w:tcPr>
            <w:tcW w:w="100" w:type="dxa"/>
            <w:vAlign w:val="bottom"/>
          </w:tcPr>
          <w:p>
            <w:pPr>
              <w:spacing w:after="0"/>
              <w:rPr>
                <w:sz w:val="13"/>
                <w:szCs w:val="13"/>
                <w:color w:val="auto"/>
              </w:rPr>
            </w:pPr>
          </w:p>
        </w:tc>
      </w:tr>
      <w:tr>
        <w:trPr>
          <w:trHeight w:val="156"/>
        </w:trPr>
        <w:tc>
          <w:tcPr>
            <w:tcW w:w="33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Net sales</w:t>
            </w:r>
          </w:p>
        </w:tc>
        <w:tc>
          <w:tcPr>
            <w:tcW w:w="58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130,037</w:t>
            </w:r>
          </w:p>
        </w:tc>
        <w:tc>
          <w:tcPr>
            <w:tcW w:w="260" w:type="dxa"/>
            <w:vAlign w:val="bottom"/>
            <w:tcBorders>
              <w:left w:val="single" w:sz="8" w:color="CFF0FC"/>
            </w:tcBorders>
            <w:shd w:val="clear" w:color="auto" w:fill="CFF0FC"/>
          </w:tcPr>
          <w:p>
            <w:pPr>
              <w:spacing w:after="0"/>
              <w:rPr>
                <w:sz w:val="13"/>
                <w:szCs w:val="13"/>
                <w:color w:val="auto"/>
              </w:rPr>
            </w:pPr>
          </w:p>
        </w:tc>
        <w:tc>
          <w:tcPr>
            <w:tcW w:w="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6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146,557</w:t>
            </w:r>
          </w:p>
        </w:tc>
        <w:tc>
          <w:tcPr>
            <w:tcW w:w="180" w:type="dxa"/>
            <w:vAlign w:val="bottom"/>
            <w:tcBorders>
              <w:left w:val="single" w:sz="8" w:color="CFF0FC"/>
            </w:tcBorders>
            <w:shd w:val="clear" w:color="auto" w:fill="CFF0FC"/>
          </w:tcPr>
          <w:p>
            <w:pPr>
              <w:spacing w:after="0"/>
              <w:rPr>
                <w:sz w:val="13"/>
                <w:szCs w:val="13"/>
                <w:color w:val="auto"/>
              </w:rPr>
            </w:pPr>
          </w:p>
        </w:tc>
        <w:tc>
          <w:tcPr>
            <w:tcW w:w="300" w:type="dxa"/>
            <w:vAlign w:val="bottom"/>
            <w:gridSpan w:val="2"/>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14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387,079</w:t>
            </w:r>
          </w:p>
        </w:tc>
        <w:tc>
          <w:tcPr>
            <w:tcW w:w="300" w:type="dxa"/>
            <w:vAlign w:val="bottom"/>
            <w:tcBorders>
              <w:left w:val="single" w:sz="8" w:color="CFF0FC"/>
              <w:right w:val="single" w:sz="8" w:color="CFF0FC"/>
            </w:tcBorders>
            <w:shd w:val="clear" w:color="auto" w:fill="CFF0FC"/>
          </w:tcPr>
          <w:p>
            <w:pPr>
              <w:spacing w:after="0"/>
              <w:rPr>
                <w:sz w:val="13"/>
                <w:szCs w:val="13"/>
                <w:color w:val="auto"/>
              </w:rPr>
            </w:pPr>
          </w:p>
        </w:tc>
        <w:tc>
          <w:tcPr>
            <w:tcW w:w="180" w:type="dxa"/>
            <w:vAlign w:val="bottom"/>
            <w:shd w:val="clear" w:color="auto" w:fill="CFF0FC"/>
          </w:tcPr>
          <w:p>
            <w:pPr>
              <w:jc w:val="right"/>
              <w:ind w:right="99"/>
              <w:spacing w:after="0"/>
              <w:rPr>
                <w:sz w:val="20"/>
                <w:szCs w:val="20"/>
                <w:color w:val="auto"/>
              </w:rPr>
            </w:pPr>
            <w:r>
              <w:rPr>
                <w:rFonts w:ascii="Arial" w:cs="Arial" w:eastAsia="Arial" w:hAnsi="Arial"/>
                <w:sz w:val="5"/>
                <w:szCs w:val="5"/>
                <w:color w:val="auto"/>
                <w:w w:val="70"/>
              </w:rPr>
              <w:t>$</w:t>
            </w:r>
          </w:p>
        </w:tc>
        <w:tc>
          <w:tcPr>
            <w:tcW w:w="1440" w:type="dxa"/>
            <w:vAlign w:val="bottom"/>
            <w:tcBorders>
              <w:right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432,809</w:t>
            </w:r>
          </w:p>
        </w:tc>
        <w:tc>
          <w:tcPr>
            <w:tcW w:w="100" w:type="dxa"/>
            <w:vAlign w:val="bottom"/>
            <w:shd w:val="clear" w:color="auto" w:fill="CFF0FC"/>
          </w:tcPr>
          <w:p>
            <w:pPr>
              <w:spacing w:after="0"/>
              <w:rPr>
                <w:sz w:val="13"/>
                <w:szCs w:val="13"/>
                <w:color w:val="auto"/>
              </w:rPr>
            </w:pPr>
          </w:p>
        </w:tc>
      </w:tr>
      <w:tr>
        <w:trPr>
          <w:trHeight w:val="162"/>
        </w:trPr>
        <w:tc>
          <w:tcPr>
            <w:tcW w:w="3320" w:type="dxa"/>
            <w:vAlign w:val="bottom"/>
          </w:tcPr>
          <w:p>
            <w:pPr>
              <w:spacing w:after="0"/>
              <w:rPr>
                <w:sz w:val="20"/>
                <w:szCs w:val="20"/>
                <w:color w:val="auto"/>
              </w:rPr>
            </w:pPr>
            <w:r>
              <w:rPr>
                <w:rFonts w:ascii="Arial" w:cs="Arial" w:eastAsia="Arial" w:hAnsi="Arial"/>
                <w:sz w:val="14"/>
                <w:szCs w:val="14"/>
                <w:color w:val="auto"/>
              </w:rPr>
              <w:t>Cost of sales</w:t>
            </w: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120,920</w:t>
            </w: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147,002</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370,964</w:t>
            </w: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423,262</w:t>
            </w:r>
          </w:p>
        </w:tc>
        <w:tc>
          <w:tcPr>
            <w:tcW w:w="100" w:type="dxa"/>
            <w:vAlign w:val="bottom"/>
          </w:tcPr>
          <w:p>
            <w:pPr>
              <w:spacing w:after="0"/>
              <w:rPr>
                <w:sz w:val="14"/>
                <w:szCs w:val="14"/>
                <w:color w:val="auto"/>
              </w:rPr>
            </w:pPr>
          </w:p>
        </w:tc>
      </w:tr>
      <w:tr>
        <w:trPr>
          <w:trHeight w:val="156"/>
        </w:trPr>
        <w:tc>
          <w:tcPr>
            <w:tcW w:w="33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Gross profit (loss)</w:t>
            </w:r>
          </w:p>
        </w:tc>
        <w:tc>
          <w:tcPr>
            <w:tcW w:w="4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9,117</w:t>
            </w:r>
          </w:p>
        </w:tc>
        <w:tc>
          <w:tcPr>
            <w:tcW w:w="260" w:type="dxa"/>
            <w:vAlign w:val="bottom"/>
            <w:tcBorders>
              <w:lef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580" w:type="dxa"/>
            <w:vAlign w:val="bottom"/>
            <w:gridSpan w:val="2"/>
            <w:shd w:val="clear" w:color="auto" w:fill="CFF0FC"/>
          </w:tcPr>
          <w:p>
            <w:pPr>
              <w:jc w:val="right"/>
              <w:ind w:right="120"/>
              <w:spacing w:after="0" w:line="155" w:lineRule="exact"/>
              <w:rPr>
                <w:sz w:val="20"/>
                <w:szCs w:val="20"/>
                <w:color w:val="auto"/>
              </w:rPr>
            </w:pPr>
            <w:r>
              <w:rPr>
                <w:rFonts w:ascii="Arial" w:cs="Arial" w:eastAsia="Arial" w:hAnsi="Arial"/>
                <w:sz w:val="14"/>
                <w:szCs w:val="14"/>
                <w:color w:val="auto"/>
              </w:rPr>
              <w:t>(445)</w:t>
            </w:r>
          </w:p>
        </w:tc>
        <w:tc>
          <w:tcPr>
            <w:tcW w:w="80" w:type="dxa"/>
            <w:vAlign w:val="bottom"/>
            <w:shd w:val="clear" w:color="auto" w:fill="CFF0FC"/>
          </w:tcPr>
          <w:p>
            <w:pPr>
              <w:spacing w:after="0"/>
              <w:rPr>
                <w:sz w:val="13"/>
                <w:szCs w:val="13"/>
                <w:color w:val="auto"/>
              </w:rPr>
            </w:pPr>
          </w:p>
        </w:tc>
        <w:tc>
          <w:tcPr>
            <w:tcW w:w="220" w:type="dxa"/>
            <w:vAlign w:val="bottom"/>
            <w:tcBorders>
              <w:left w:val="single" w:sz="8" w:color="CFF0FC"/>
            </w:tcBorders>
            <w:shd w:val="clear" w:color="auto" w:fill="CFF0FC"/>
          </w:tcPr>
          <w:p>
            <w:pPr>
              <w:spacing w:after="0"/>
              <w:rPr>
                <w:sz w:val="13"/>
                <w:szCs w:val="13"/>
                <w:color w:val="auto"/>
              </w:rPr>
            </w:pPr>
          </w:p>
        </w:tc>
        <w:tc>
          <w:tcPr>
            <w:tcW w:w="14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16,115</w:t>
            </w:r>
          </w:p>
        </w:tc>
        <w:tc>
          <w:tcPr>
            <w:tcW w:w="300" w:type="dxa"/>
            <w:vAlign w:val="bottom"/>
            <w:tcBorders>
              <w:left w:val="single" w:sz="8" w:color="CFF0FC"/>
              <w:right w:val="single" w:sz="8" w:color="CFF0FC"/>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40" w:type="dxa"/>
            <w:vAlign w:val="bottom"/>
            <w:tcBorders>
              <w:right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9,547</w:t>
            </w:r>
          </w:p>
        </w:tc>
        <w:tc>
          <w:tcPr>
            <w:tcW w:w="100" w:type="dxa"/>
            <w:vAlign w:val="bottom"/>
            <w:shd w:val="clear" w:color="auto" w:fill="CFF0FC"/>
          </w:tcPr>
          <w:p>
            <w:pPr>
              <w:spacing w:after="0"/>
              <w:rPr>
                <w:sz w:val="13"/>
                <w:szCs w:val="13"/>
                <w:color w:val="auto"/>
              </w:rPr>
            </w:pPr>
          </w:p>
        </w:tc>
      </w:tr>
      <w:tr>
        <w:trPr>
          <w:trHeight w:val="162"/>
        </w:trPr>
        <w:tc>
          <w:tcPr>
            <w:tcW w:w="3320" w:type="dxa"/>
            <w:vAlign w:val="bottom"/>
          </w:tcPr>
          <w:p>
            <w:pPr>
              <w:spacing w:after="0"/>
              <w:rPr>
                <w:sz w:val="20"/>
                <w:szCs w:val="20"/>
                <w:color w:val="auto"/>
              </w:rPr>
            </w:pPr>
            <w:r>
              <w:rPr>
                <w:rFonts w:ascii="Arial" w:cs="Arial" w:eastAsia="Arial" w:hAnsi="Arial"/>
                <w:sz w:val="14"/>
                <w:szCs w:val="14"/>
                <w:color w:val="auto"/>
              </w:rPr>
              <w:t>Selling, general and administrative expenses</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11,188</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12,295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32,849</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37,058</w:t>
            </w:r>
          </w:p>
        </w:tc>
        <w:tc>
          <w:tcPr>
            <w:tcW w:w="100" w:type="dxa"/>
            <w:vAlign w:val="bottom"/>
          </w:tcPr>
          <w:p>
            <w:pPr>
              <w:spacing w:after="0"/>
              <w:rPr>
                <w:sz w:val="14"/>
                <w:szCs w:val="14"/>
                <w:color w:val="auto"/>
              </w:rPr>
            </w:pPr>
          </w:p>
        </w:tc>
      </w:tr>
      <w:tr>
        <w:trPr>
          <w:trHeight w:val="162"/>
        </w:trPr>
        <w:tc>
          <w:tcPr>
            <w:tcW w:w="3320" w:type="dxa"/>
            <w:vAlign w:val="bottom"/>
            <w:shd w:val="clear" w:color="auto" w:fill="CFF0FC"/>
          </w:tcPr>
          <w:p>
            <w:pPr>
              <w:spacing w:after="0"/>
              <w:rPr>
                <w:sz w:val="20"/>
                <w:szCs w:val="20"/>
                <w:color w:val="auto"/>
              </w:rPr>
            </w:pPr>
            <w:r>
              <w:rPr>
                <w:rFonts w:ascii="Arial" w:cs="Arial" w:eastAsia="Arial" w:hAnsi="Arial"/>
                <w:sz w:val="14"/>
                <w:szCs w:val="14"/>
                <w:color w:val="auto"/>
              </w:rPr>
              <w:t>Benefit for bad debts</w:t>
            </w:r>
          </w:p>
        </w:tc>
        <w:tc>
          <w:tcPr>
            <w:tcW w:w="4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(294)</w:t>
            </w:r>
          </w:p>
        </w:tc>
        <w:tc>
          <w:tcPr>
            <w:tcW w:w="260" w:type="dxa"/>
            <w:vAlign w:val="bottom"/>
            <w:tcBorders>
              <w:lef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(255)</w:t>
            </w:r>
          </w:p>
        </w:tc>
        <w:tc>
          <w:tcPr>
            <w:tcW w:w="80" w:type="dxa"/>
            <w:vAlign w:val="bottom"/>
            <w:shd w:val="clear" w:color="auto" w:fill="CFF0FC"/>
          </w:tcPr>
          <w:p>
            <w:pPr>
              <w:spacing w:after="0"/>
              <w:rPr>
                <w:sz w:val="14"/>
                <w:szCs w:val="14"/>
                <w:color w:val="auto"/>
              </w:rPr>
            </w:pPr>
          </w:p>
        </w:tc>
        <w:tc>
          <w:tcPr>
            <w:tcW w:w="220" w:type="dxa"/>
            <w:vAlign w:val="bottom"/>
            <w:tcBorders>
              <w:left w:val="single" w:sz="8" w:color="CFF0FC"/>
            </w:tcBorders>
            <w:shd w:val="clear" w:color="auto" w:fill="CFF0FC"/>
          </w:tcPr>
          <w:p>
            <w:pPr>
              <w:spacing w:after="0"/>
              <w:rPr>
                <w:sz w:val="14"/>
                <w:szCs w:val="14"/>
                <w:color w:val="auto"/>
              </w:rPr>
            </w:pPr>
          </w:p>
        </w:tc>
        <w:tc>
          <w:tcPr>
            <w:tcW w:w="17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(244)</w:t>
            </w:r>
          </w:p>
        </w:tc>
        <w:tc>
          <w:tcPr>
            <w:tcW w:w="18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(39)</w:t>
            </w:r>
          </w:p>
        </w:tc>
      </w:tr>
      <w:tr>
        <w:trPr>
          <w:trHeight w:val="162"/>
        </w:trPr>
        <w:tc>
          <w:tcPr>
            <w:tcW w:w="3320" w:type="dxa"/>
            <w:vAlign w:val="bottom"/>
          </w:tcPr>
          <w:p>
            <w:pPr>
              <w:spacing w:after="0"/>
              <w:rPr>
                <w:sz w:val="20"/>
                <w:szCs w:val="20"/>
                <w:color w:val="auto"/>
              </w:rPr>
            </w:pPr>
            <w:r>
              <w:rPr>
                <w:rFonts w:ascii="Arial" w:cs="Arial" w:eastAsia="Arial" w:hAnsi="Arial"/>
                <w:sz w:val="14"/>
                <w:szCs w:val="14"/>
                <w:color w:val="auto"/>
              </w:rPr>
              <w:t>Restructuring costs, net</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1,320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1,853</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1,320</w:t>
            </w:r>
          </w:p>
        </w:tc>
        <w:tc>
          <w:tcPr>
            <w:tcW w:w="100" w:type="dxa"/>
            <w:vAlign w:val="bottom"/>
          </w:tcPr>
          <w:p>
            <w:pPr>
              <w:spacing w:after="0"/>
              <w:rPr>
                <w:sz w:val="14"/>
                <w:szCs w:val="14"/>
                <w:color w:val="auto"/>
              </w:rPr>
            </w:pPr>
          </w:p>
        </w:tc>
      </w:tr>
      <w:tr>
        <w:trPr>
          <w:trHeight w:val="162"/>
        </w:trPr>
        <w:tc>
          <w:tcPr>
            <w:tcW w:w="3320" w:type="dxa"/>
            <w:vAlign w:val="bottom"/>
            <w:shd w:val="clear" w:color="auto" w:fill="CFF0FC"/>
          </w:tcPr>
          <w:p>
            <w:pPr>
              <w:spacing w:after="0"/>
              <w:rPr>
                <w:sz w:val="20"/>
                <w:szCs w:val="20"/>
                <w:color w:val="auto"/>
              </w:rPr>
            </w:pPr>
            <w:r>
              <w:rPr>
                <w:rFonts w:ascii="Arial" w:cs="Arial" w:eastAsia="Arial" w:hAnsi="Arial"/>
                <w:sz w:val="14"/>
                <w:szCs w:val="14"/>
                <w:color w:val="auto"/>
              </w:rPr>
              <w:t>Gain on sale of assets</w:t>
            </w:r>
          </w:p>
        </w:tc>
        <w:tc>
          <w:tcPr>
            <w:tcW w:w="4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220" w:type="dxa"/>
            <w:vAlign w:val="bottom"/>
            <w:tcBorders>
              <w:left w:val="single" w:sz="8" w:color="CFF0FC"/>
            </w:tcBorders>
            <w:shd w:val="clear" w:color="auto" w:fill="CFF0FC"/>
          </w:tcPr>
          <w:p>
            <w:pPr>
              <w:spacing w:after="0"/>
              <w:rPr>
                <w:sz w:val="14"/>
                <w:szCs w:val="14"/>
                <w:color w:val="auto"/>
              </w:rPr>
            </w:pPr>
          </w:p>
        </w:tc>
        <w:tc>
          <w:tcPr>
            <w:tcW w:w="1720" w:type="dxa"/>
            <w:vAlign w:val="bottom"/>
            <w:tcBorders>
              <w:right w:val="single" w:sz="8" w:color="CFF0FC"/>
            </w:tcBorders>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(4,296)</w:t>
            </w:r>
          </w:p>
        </w:tc>
      </w:tr>
      <w:tr>
        <w:trPr>
          <w:trHeight w:val="162"/>
        </w:trPr>
        <w:tc>
          <w:tcPr>
            <w:tcW w:w="3320" w:type="dxa"/>
            <w:vAlign w:val="bottom"/>
          </w:tcPr>
          <w:p>
            <w:pPr>
              <w:spacing w:after="0"/>
              <w:rPr>
                <w:sz w:val="20"/>
                <w:szCs w:val="20"/>
                <w:color w:val="auto"/>
              </w:rPr>
            </w:pPr>
            <w:r>
              <w:rPr>
                <w:rFonts w:ascii="Arial" w:cs="Arial" w:eastAsia="Arial" w:hAnsi="Arial"/>
                <w:sz w:val="14"/>
                <w:szCs w:val="14"/>
                <w:color w:val="auto"/>
              </w:rPr>
              <w:t>Other operating (income) expense, net</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(1,660)</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4"/>
                <w:szCs w:val="14"/>
                <w:color w:val="auto"/>
              </w:rPr>
              <w:t>(1,317)</w:t>
            </w:r>
          </w:p>
        </w:tc>
        <w:tc>
          <w:tcPr>
            <w:tcW w:w="1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144</w:t>
            </w:r>
          </w:p>
        </w:tc>
        <w:tc>
          <w:tcPr>
            <w:tcW w:w="100" w:type="dxa"/>
            <w:vAlign w:val="bottom"/>
          </w:tcPr>
          <w:p>
            <w:pPr>
              <w:spacing w:after="0"/>
              <w:rPr>
                <w:sz w:val="14"/>
                <w:szCs w:val="14"/>
                <w:color w:val="auto"/>
              </w:rPr>
            </w:pPr>
          </w:p>
        </w:tc>
      </w:tr>
      <w:tr>
        <w:trPr>
          <w:trHeight w:val="20"/>
        </w:trPr>
        <w:tc>
          <w:tcPr>
            <w:tcW w:w="3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5"/>
        </w:trPr>
        <w:tc>
          <w:tcPr>
            <w:tcW w:w="33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Operating loss</w:t>
            </w:r>
          </w:p>
        </w:tc>
        <w:tc>
          <w:tcPr>
            <w:tcW w:w="4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(117)</w:t>
            </w:r>
          </w:p>
        </w:tc>
        <w:tc>
          <w:tcPr>
            <w:tcW w:w="260" w:type="dxa"/>
            <w:vAlign w:val="bottom"/>
            <w:tcBorders>
              <w:lef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580" w:type="dxa"/>
            <w:vAlign w:val="bottom"/>
            <w:gridSpan w:val="2"/>
            <w:shd w:val="clear" w:color="auto" w:fill="CFF0FC"/>
          </w:tcPr>
          <w:p>
            <w:pPr>
              <w:jc w:val="right"/>
              <w:ind w:right="120"/>
              <w:spacing w:after="0" w:line="155" w:lineRule="exact"/>
              <w:rPr>
                <w:sz w:val="20"/>
                <w:szCs w:val="20"/>
                <w:color w:val="auto"/>
              </w:rPr>
            </w:pPr>
            <w:r>
              <w:rPr>
                <w:rFonts w:ascii="Arial" w:cs="Arial" w:eastAsia="Arial" w:hAnsi="Arial"/>
                <w:sz w:val="14"/>
                <w:szCs w:val="14"/>
                <w:color w:val="auto"/>
              </w:rPr>
              <w:t>(13,860)</w:t>
            </w:r>
          </w:p>
        </w:tc>
        <w:tc>
          <w:tcPr>
            <w:tcW w:w="80" w:type="dxa"/>
            <w:vAlign w:val="bottom"/>
            <w:shd w:val="clear" w:color="auto" w:fill="CFF0FC"/>
          </w:tcPr>
          <w:p>
            <w:pPr>
              <w:spacing w:after="0"/>
              <w:rPr>
                <w:sz w:val="13"/>
                <w:szCs w:val="13"/>
                <w:color w:val="auto"/>
              </w:rPr>
            </w:pPr>
          </w:p>
        </w:tc>
        <w:tc>
          <w:tcPr>
            <w:tcW w:w="220" w:type="dxa"/>
            <w:vAlign w:val="bottom"/>
            <w:tcBorders>
              <w:left w:val="single" w:sz="8" w:color="CFF0FC"/>
            </w:tcBorders>
            <w:shd w:val="clear" w:color="auto" w:fill="CFF0FC"/>
          </w:tcPr>
          <w:p>
            <w:pPr>
              <w:spacing w:after="0"/>
              <w:rPr>
                <w:sz w:val="13"/>
                <w:szCs w:val="13"/>
                <w:color w:val="auto"/>
              </w:rPr>
            </w:pPr>
          </w:p>
        </w:tc>
        <w:tc>
          <w:tcPr>
            <w:tcW w:w="1720" w:type="dxa"/>
            <w:vAlign w:val="bottom"/>
            <w:tcBorders>
              <w:right w:val="single" w:sz="8" w:color="CFF0FC"/>
            </w:tcBorders>
            <w:gridSpan w:val="2"/>
            <w:shd w:val="clear" w:color="auto" w:fill="CFF0FC"/>
          </w:tcPr>
          <w:p>
            <w:pPr>
              <w:jc w:val="right"/>
              <w:ind w:right="240"/>
              <w:spacing w:after="0" w:line="155" w:lineRule="exact"/>
              <w:rPr>
                <w:sz w:val="20"/>
                <w:szCs w:val="20"/>
                <w:color w:val="auto"/>
              </w:rPr>
            </w:pPr>
            <w:r>
              <w:rPr>
                <w:rFonts w:ascii="Arial" w:cs="Arial" w:eastAsia="Arial" w:hAnsi="Arial"/>
                <w:sz w:val="14"/>
                <w:szCs w:val="14"/>
                <w:color w:val="auto"/>
              </w:rPr>
              <w:t>(17,026)</w:t>
            </w:r>
          </w:p>
        </w:tc>
        <w:tc>
          <w:tcPr>
            <w:tcW w:w="180" w:type="dxa"/>
            <w:vAlign w:val="bottom"/>
            <w:shd w:val="clear" w:color="auto" w:fill="CFF0FC"/>
          </w:tcPr>
          <w:p>
            <w:pPr>
              <w:spacing w:after="0"/>
              <w:rPr>
                <w:sz w:val="13"/>
                <w:szCs w:val="13"/>
                <w:color w:val="auto"/>
              </w:rPr>
            </w:pPr>
          </w:p>
        </w:tc>
        <w:tc>
          <w:tcPr>
            <w:tcW w:w="154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(24,640)</w:t>
            </w:r>
          </w:p>
        </w:tc>
      </w:tr>
      <w:tr>
        <w:trPr>
          <w:trHeight w:val="162"/>
        </w:trPr>
        <w:tc>
          <w:tcPr>
            <w:tcW w:w="3320" w:type="dxa"/>
            <w:vAlign w:val="bottom"/>
          </w:tcPr>
          <w:p>
            <w:pPr>
              <w:spacing w:after="0"/>
              <w:rPr>
                <w:sz w:val="20"/>
                <w:szCs w:val="20"/>
                <w:color w:val="auto"/>
              </w:rPr>
            </w:pPr>
            <w:r>
              <w:rPr>
                <w:rFonts w:ascii="Arial" w:cs="Arial" w:eastAsia="Arial" w:hAnsi="Arial"/>
                <w:sz w:val="14"/>
                <w:szCs w:val="14"/>
                <w:color w:val="auto"/>
              </w:rPr>
              <w:t>Interest income</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(446)</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4"/>
                <w:szCs w:val="14"/>
                <w:color w:val="auto"/>
              </w:rPr>
              <w:t>(198)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4"/>
                <w:szCs w:val="14"/>
                <w:color w:val="auto"/>
              </w:rPr>
              <w:t>(1,294)</w:t>
            </w:r>
          </w:p>
        </w:tc>
        <w:tc>
          <w:tcPr>
            <w:tcW w:w="180" w:type="dxa"/>
            <w:vAlign w:val="bottom"/>
          </w:tcPr>
          <w:p>
            <w:pPr>
              <w:spacing w:after="0"/>
              <w:rPr>
                <w:sz w:val="14"/>
                <w:szCs w:val="14"/>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4"/>
                <w:szCs w:val="14"/>
                <w:color w:val="auto"/>
              </w:rPr>
              <w:t>(632)</w:t>
            </w:r>
          </w:p>
        </w:tc>
      </w:tr>
      <w:tr>
        <w:trPr>
          <w:trHeight w:val="162"/>
        </w:trPr>
        <w:tc>
          <w:tcPr>
            <w:tcW w:w="3320" w:type="dxa"/>
            <w:vAlign w:val="bottom"/>
            <w:shd w:val="clear" w:color="auto" w:fill="CFF0FC"/>
          </w:tcPr>
          <w:p>
            <w:pPr>
              <w:spacing w:after="0"/>
              <w:rPr>
                <w:sz w:val="20"/>
                <w:szCs w:val="20"/>
                <w:color w:val="auto"/>
              </w:rPr>
            </w:pPr>
            <w:r>
              <w:rPr>
                <w:rFonts w:ascii="Arial" w:cs="Arial" w:eastAsia="Arial" w:hAnsi="Arial"/>
                <w:sz w:val="14"/>
                <w:szCs w:val="14"/>
                <w:color w:val="auto"/>
              </w:rPr>
              <w:t>Interest expense</w:t>
            </w:r>
          </w:p>
        </w:tc>
        <w:tc>
          <w:tcPr>
            <w:tcW w:w="4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1,559</w:t>
            </w:r>
          </w:p>
        </w:tc>
        <w:tc>
          <w:tcPr>
            <w:tcW w:w="260" w:type="dxa"/>
            <w:vAlign w:val="bottom"/>
            <w:tcBorders>
              <w:lef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2,417</w:t>
            </w:r>
          </w:p>
        </w:tc>
        <w:tc>
          <w:tcPr>
            <w:tcW w:w="180" w:type="dxa"/>
            <w:vAlign w:val="bottom"/>
            <w:tcBorders>
              <w:lef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tcBorders>
              <w:left w:val="single" w:sz="8" w:color="CFF0FC"/>
            </w:tcBorders>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5,364</w:t>
            </w:r>
          </w:p>
        </w:tc>
        <w:tc>
          <w:tcPr>
            <w:tcW w:w="300" w:type="dxa"/>
            <w:vAlign w:val="bottom"/>
            <w:tcBorders>
              <w:left w:val="single" w:sz="8" w:color="CFF0FC"/>
              <w:right w:val="single" w:sz="8" w:color="CFF0FC"/>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7,322</w:t>
            </w:r>
          </w:p>
        </w:tc>
        <w:tc>
          <w:tcPr>
            <w:tcW w:w="100" w:type="dxa"/>
            <w:vAlign w:val="bottom"/>
            <w:shd w:val="clear" w:color="auto" w:fill="CFF0FC"/>
          </w:tcPr>
          <w:p>
            <w:pPr>
              <w:spacing w:after="0"/>
              <w:rPr>
                <w:sz w:val="14"/>
                <w:szCs w:val="14"/>
                <w:color w:val="auto"/>
              </w:rPr>
            </w:pPr>
          </w:p>
        </w:tc>
      </w:tr>
      <w:tr>
        <w:trPr>
          <w:trHeight w:val="162"/>
        </w:trPr>
        <w:tc>
          <w:tcPr>
            <w:tcW w:w="3320" w:type="dxa"/>
            <w:vAlign w:val="bottom"/>
          </w:tcPr>
          <w:p>
            <w:pPr>
              <w:spacing w:after="0"/>
              <w:rPr>
                <w:sz w:val="20"/>
                <w:szCs w:val="20"/>
                <w:color w:val="auto"/>
              </w:rPr>
            </w:pPr>
            <w:r>
              <w:rPr>
                <w:rFonts w:ascii="Arial" w:cs="Arial" w:eastAsia="Arial" w:hAnsi="Arial"/>
                <w:sz w:val="14"/>
                <w:szCs w:val="14"/>
                <w:color w:val="auto"/>
              </w:rPr>
              <w:t>Equity in loss of unconsolidated affiliate</w:t>
            </w: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w:t>
            </w: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w:t>
            </w: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467</w:t>
            </w:r>
          </w:p>
        </w:tc>
        <w:tc>
          <w:tcPr>
            <w:tcW w:w="100" w:type="dxa"/>
            <w:vAlign w:val="bottom"/>
          </w:tcPr>
          <w:p>
            <w:pPr>
              <w:spacing w:after="0"/>
              <w:rPr>
                <w:sz w:val="14"/>
                <w:szCs w:val="14"/>
                <w:color w:val="auto"/>
              </w:rPr>
            </w:pPr>
          </w:p>
        </w:tc>
      </w:tr>
      <w:tr>
        <w:trPr>
          <w:trHeight w:val="156"/>
        </w:trPr>
        <w:tc>
          <w:tcPr>
            <w:tcW w:w="33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Loss before income taxes</w:t>
            </w:r>
          </w:p>
        </w:tc>
        <w:tc>
          <w:tcPr>
            <w:tcW w:w="4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(1,470)</w:t>
            </w:r>
          </w:p>
        </w:tc>
        <w:tc>
          <w:tcPr>
            <w:tcW w:w="260" w:type="dxa"/>
            <w:vAlign w:val="bottom"/>
            <w:tcBorders>
              <w:lef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580" w:type="dxa"/>
            <w:vAlign w:val="bottom"/>
            <w:gridSpan w:val="2"/>
            <w:shd w:val="clear" w:color="auto" w:fill="CFF0FC"/>
          </w:tcPr>
          <w:p>
            <w:pPr>
              <w:jc w:val="right"/>
              <w:ind w:right="120"/>
              <w:spacing w:after="0" w:line="155" w:lineRule="exact"/>
              <w:rPr>
                <w:sz w:val="20"/>
                <w:szCs w:val="20"/>
                <w:color w:val="auto"/>
              </w:rPr>
            </w:pPr>
            <w:r>
              <w:rPr>
                <w:rFonts w:ascii="Arial" w:cs="Arial" w:eastAsia="Arial" w:hAnsi="Arial"/>
                <w:sz w:val="14"/>
                <w:szCs w:val="14"/>
                <w:color w:val="auto"/>
              </w:rPr>
              <w:t>(16,295)</w:t>
            </w:r>
          </w:p>
        </w:tc>
        <w:tc>
          <w:tcPr>
            <w:tcW w:w="80" w:type="dxa"/>
            <w:vAlign w:val="bottom"/>
            <w:shd w:val="clear" w:color="auto" w:fill="CFF0FC"/>
          </w:tcPr>
          <w:p>
            <w:pPr>
              <w:spacing w:after="0"/>
              <w:rPr>
                <w:sz w:val="13"/>
                <w:szCs w:val="13"/>
                <w:color w:val="auto"/>
              </w:rPr>
            </w:pPr>
          </w:p>
        </w:tc>
        <w:tc>
          <w:tcPr>
            <w:tcW w:w="220" w:type="dxa"/>
            <w:vAlign w:val="bottom"/>
            <w:tcBorders>
              <w:left w:val="single" w:sz="8" w:color="CFF0FC"/>
            </w:tcBorders>
            <w:shd w:val="clear" w:color="auto" w:fill="CFF0FC"/>
          </w:tcPr>
          <w:p>
            <w:pPr>
              <w:spacing w:after="0"/>
              <w:rPr>
                <w:sz w:val="13"/>
                <w:szCs w:val="13"/>
                <w:color w:val="auto"/>
              </w:rPr>
            </w:pPr>
          </w:p>
        </w:tc>
        <w:tc>
          <w:tcPr>
            <w:tcW w:w="1720" w:type="dxa"/>
            <w:vAlign w:val="bottom"/>
            <w:tcBorders>
              <w:right w:val="single" w:sz="8" w:color="CFF0FC"/>
            </w:tcBorders>
            <w:gridSpan w:val="2"/>
            <w:shd w:val="clear" w:color="auto" w:fill="CFF0FC"/>
          </w:tcPr>
          <w:p>
            <w:pPr>
              <w:jc w:val="right"/>
              <w:ind w:right="240"/>
              <w:spacing w:after="0" w:line="155" w:lineRule="exact"/>
              <w:rPr>
                <w:sz w:val="20"/>
                <w:szCs w:val="20"/>
                <w:color w:val="auto"/>
              </w:rPr>
            </w:pPr>
            <w:r>
              <w:rPr>
                <w:rFonts w:ascii="Arial" w:cs="Arial" w:eastAsia="Arial" w:hAnsi="Arial"/>
                <w:sz w:val="14"/>
                <w:szCs w:val="14"/>
                <w:color w:val="auto"/>
              </w:rPr>
              <w:t>(21,385)</w:t>
            </w:r>
          </w:p>
        </w:tc>
        <w:tc>
          <w:tcPr>
            <w:tcW w:w="180" w:type="dxa"/>
            <w:vAlign w:val="bottom"/>
            <w:shd w:val="clear" w:color="auto" w:fill="CFF0FC"/>
          </w:tcPr>
          <w:p>
            <w:pPr>
              <w:spacing w:after="0"/>
              <w:rPr>
                <w:sz w:val="13"/>
                <w:szCs w:val="13"/>
                <w:color w:val="auto"/>
              </w:rPr>
            </w:pPr>
          </w:p>
        </w:tc>
        <w:tc>
          <w:tcPr>
            <w:tcW w:w="154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(31,797)</w:t>
            </w:r>
          </w:p>
        </w:tc>
      </w:tr>
      <w:tr>
        <w:trPr>
          <w:trHeight w:val="162"/>
        </w:trPr>
        <w:tc>
          <w:tcPr>
            <w:tcW w:w="3320" w:type="dxa"/>
            <w:vAlign w:val="bottom"/>
          </w:tcPr>
          <w:p>
            <w:pPr>
              <w:spacing w:after="0"/>
              <w:rPr>
                <w:sz w:val="20"/>
                <w:szCs w:val="20"/>
                <w:color w:val="auto"/>
              </w:rPr>
            </w:pPr>
            <w:r>
              <w:rPr>
                <w:rFonts w:ascii="Arial" w:cs="Arial" w:eastAsia="Arial" w:hAnsi="Arial"/>
                <w:sz w:val="14"/>
                <w:szCs w:val="14"/>
                <w:color w:val="auto"/>
              </w:rPr>
              <w:t>Provision for income taxes</w:t>
            </w: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836</w:t>
            </w: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499</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1,984</w:t>
            </w: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4,021</w:t>
            </w:r>
          </w:p>
        </w:tc>
        <w:tc>
          <w:tcPr>
            <w:tcW w:w="100" w:type="dxa"/>
            <w:vAlign w:val="bottom"/>
          </w:tcPr>
          <w:p>
            <w:pPr>
              <w:spacing w:after="0"/>
              <w:rPr>
                <w:sz w:val="14"/>
                <w:szCs w:val="14"/>
                <w:color w:val="auto"/>
              </w:rPr>
            </w:pPr>
          </w:p>
        </w:tc>
      </w:tr>
      <w:tr>
        <w:trPr>
          <w:trHeight w:val="196"/>
        </w:trPr>
        <w:tc>
          <w:tcPr>
            <w:tcW w:w="332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Net loss</w:t>
            </w:r>
          </w:p>
        </w:tc>
        <w:tc>
          <w:tcPr>
            <w:tcW w:w="4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12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(2,306)</w:t>
            </w:r>
          </w:p>
        </w:tc>
        <w:tc>
          <w:tcPr>
            <w:tcW w:w="260" w:type="dxa"/>
            <w:vAlign w:val="bottom"/>
            <w:tcBorders>
              <w:left w:val="single" w:sz="8" w:color="CFF0FC"/>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16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(16,794)</w:t>
            </w:r>
          </w:p>
        </w:tc>
        <w:tc>
          <w:tcPr>
            <w:tcW w:w="180" w:type="dxa"/>
            <w:vAlign w:val="bottom"/>
            <w:tcBorders>
              <w:left w:val="single" w:sz="8" w:color="CFF0FC"/>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left w:val="single" w:sz="8" w:color="CFF0FC"/>
              <w:bottom w:val="single" w:sz="8" w:color="auto"/>
            </w:tcBorders>
            <w:shd w:val="clear" w:color="auto" w:fill="CFF0FC"/>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(23,369)</w:t>
            </w:r>
          </w:p>
        </w:tc>
        <w:tc>
          <w:tcPr>
            <w:tcW w:w="300" w:type="dxa"/>
            <w:vAlign w:val="bottom"/>
            <w:tcBorders>
              <w:left w:val="single" w:sz="8" w:color="CFF0FC"/>
              <w:bottom w:val="single" w:sz="8" w:color="CFF0FC"/>
              <w:right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5"/>
                <w:szCs w:val="5"/>
                <w:color w:val="auto"/>
                <w:w w:val="70"/>
              </w:rPr>
              <w:t>$</w:t>
            </w:r>
          </w:p>
        </w:tc>
        <w:tc>
          <w:tcPr>
            <w:tcW w:w="1440" w:type="dxa"/>
            <w:vAlign w:val="bottom"/>
            <w:tcBorders>
              <w:bottom w:val="single" w:sz="8" w:color="auto"/>
              <w:right w:val="single" w:sz="8" w:color="CFF0FC"/>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(35,818)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43"/>
        </w:trPr>
        <w:tc>
          <w:tcPr>
            <w:tcW w:w="3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3320" w:type="dxa"/>
            <w:vAlign w:val="bottom"/>
            <w:shd w:val="clear" w:color="auto" w:fill="CFF0FC"/>
          </w:tcPr>
          <w:p>
            <w:pPr>
              <w:spacing w:after="0"/>
              <w:rPr>
                <w:sz w:val="20"/>
                <w:szCs w:val="20"/>
                <w:color w:val="auto"/>
              </w:rPr>
            </w:pPr>
            <w:r>
              <w:rPr>
                <w:rFonts w:ascii="Arial" w:cs="Arial" w:eastAsia="Arial" w:hAnsi="Arial"/>
                <w:sz w:val="14"/>
                <w:szCs w:val="14"/>
                <w:color w:val="auto"/>
              </w:rPr>
              <w:t>Net loss per common share:</w:t>
            </w:r>
          </w:p>
        </w:tc>
        <w:tc>
          <w:tcPr>
            <w:tcW w:w="4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260" w:type="dxa"/>
            <w:vAlign w:val="bottom"/>
            <w:tcBorders>
              <w:lef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180" w:type="dxa"/>
            <w:vAlign w:val="bottom"/>
            <w:tcBorders>
              <w:lef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tcBorders>
              <w:left w:val="single" w:sz="8" w:color="CFF0FC"/>
            </w:tcBorders>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300" w:type="dxa"/>
            <w:vAlign w:val="bottom"/>
            <w:tcBorders>
              <w:left w:val="single" w:sz="8" w:color="CFF0FC"/>
              <w:right w:val="single" w:sz="8" w:color="CFF0FC"/>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4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3320" w:type="dxa"/>
            <w:vAlign w:val="bottom"/>
          </w:tcPr>
          <w:p>
            <w:pPr>
              <w:spacing w:after="0"/>
              <w:rPr>
                <w:sz w:val="20"/>
                <w:szCs w:val="20"/>
                <w:color w:val="auto"/>
              </w:rPr>
            </w:pPr>
            <w:r>
              <w:rPr>
                <w:rFonts w:ascii="Arial" w:cs="Arial" w:eastAsia="Arial" w:hAnsi="Arial"/>
                <w:sz w:val="14"/>
                <w:szCs w:val="14"/>
                <w:color w:val="auto"/>
              </w:rPr>
              <w:t>Basic</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(0.12)</w:t>
            </w:r>
          </w:p>
        </w:tc>
        <w:tc>
          <w:tcPr>
            <w:tcW w:w="2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60" w:type="dxa"/>
            <w:vAlign w:val="bottom"/>
          </w:tcPr>
          <w:p>
            <w:pPr>
              <w:spacing w:after="0"/>
              <w:rPr>
                <w:sz w:val="14"/>
                <w:szCs w:val="14"/>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4"/>
                <w:szCs w:val="14"/>
                <w:color w:val="auto"/>
              </w:rPr>
              <w:t>(0.92)</w:t>
            </w:r>
          </w:p>
        </w:tc>
        <w:tc>
          <w:tcPr>
            <w:tcW w:w="3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720" w:type="dxa"/>
            <w:vAlign w:val="bottom"/>
            <w:gridSpan w:val="2"/>
          </w:tcPr>
          <w:p>
            <w:pPr>
              <w:jc w:val="right"/>
              <w:ind w:right="240"/>
              <w:spacing w:after="0"/>
              <w:rPr>
                <w:sz w:val="20"/>
                <w:szCs w:val="20"/>
                <w:color w:val="auto"/>
              </w:rPr>
            </w:pPr>
            <w:r>
              <w:rPr>
                <w:rFonts w:ascii="Arial" w:cs="Arial" w:eastAsia="Arial" w:hAnsi="Arial"/>
                <w:sz w:val="14"/>
                <w:szCs w:val="14"/>
                <w:color w:val="auto"/>
              </w:rPr>
              <w:t>(1.27)</w:t>
            </w:r>
          </w:p>
        </w:tc>
        <w:tc>
          <w:tcPr>
            <w:tcW w:w="180" w:type="dxa"/>
            <w:vAlign w:val="bottom"/>
          </w:tcPr>
          <w:p>
            <w:pPr>
              <w:jc w:val="right"/>
              <w:ind w:right="99"/>
              <w:spacing w:after="0"/>
              <w:rPr>
                <w:sz w:val="20"/>
                <w:szCs w:val="20"/>
                <w:color w:val="auto"/>
              </w:rPr>
            </w:pPr>
            <w:r>
              <w:rPr>
                <w:rFonts w:ascii="Arial" w:cs="Arial" w:eastAsia="Arial" w:hAnsi="Arial"/>
                <w:sz w:val="5"/>
                <w:szCs w:val="5"/>
                <w:color w:val="auto"/>
                <w:w w:val="70"/>
              </w:rPr>
              <w:t>$</w:t>
            </w:r>
          </w:p>
        </w:tc>
        <w:tc>
          <w:tcPr>
            <w:tcW w:w="1540" w:type="dxa"/>
            <w:vAlign w:val="bottom"/>
            <w:gridSpan w:val="2"/>
          </w:tcPr>
          <w:p>
            <w:pPr>
              <w:jc w:val="right"/>
              <w:ind w:right="60"/>
              <w:spacing w:after="0"/>
              <w:rPr>
                <w:sz w:val="20"/>
                <w:szCs w:val="20"/>
                <w:color w:val="auto"/>
              </w:rPr>
            </w:pPr>
            <w:r>
              <w:rPr>
                <w:rFonts w:ascii="Arial" w:cs="Arial" w:eastAsia="Arial" w:hAnsi="Arial"/>
                <w:sz w:val="14"/>
                <w:szCs w:val="14"/>
                <w:color w:val="auto"/>
              </w:rPr>
              <w:t>(1.96)</w:t>
            </w:r>
          </w:p>
        </w:tc>
      </w:tr>
      <w:tr>
        <w:trPr>
          <w:trHeight w:val="162"/>
        </w:trPr>
        <w:tc>
          <w:tcPr>
            <w:tcW w:w="3320" w:type="dxa"/>
            <w:vAlign w:val="bottom"/>
            <w:shd w:val="clear" w:color="auto" w:fill="CFF0FC"/>
          </w:tcPr>
          <w:p>
            <w:pPr>
              <w:spacing w:after="0"/>
              <w:rPr>
                <w:sz w:val="20"/>
                <w:szCs w:val="20"/>
                <w:color w:val="auto"/>
              </w:rPr>
            </w:pPr>
            <w:r>
              <w:rPr>
                <w:rFonts w:ascii="Arial" w:cs="Arial" w:eastAsia="Arial" w:hAnsi="Arial"/>
                <w:sz w:val="14"/>
                <w:szCs w:val="14"/>
                <w:color w:val="auto"/>
              </w:rPr>
              <w:t>Diluted</w:t>
            </w: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(0.12)</w:t>
            </w:r>
          </w:p>
        </w:tc>
        <w:tc>
          <w:tcPr>
            <w:tcW w:w="260" w:type="dxa"/>
            <w:vAlign w:val="bottom"/>
            <w:tcBorders>
              <w:left w:val="single" w:sz="8" w:color="CFF0FC"/>
            </w:tcBorders>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60" w:type="dxa"/>
            <w:vAlign w:val="bottom"/>
            <w:shd w:val="clear" w:color="auto" w:fill="CFF0FC"/>
          </w:tcPr>
          <w:p>
            <w:pPr>
              <w:spacing w:after="0"/>
              <w:rPr>
                <w:sz w:val="14"/>
                <w:szCs w:val="14"/>
                <w:color w:val="auto"/>
              </w:rPr>
            </w:pPr>
          </w:p>
        </w:tc>
        <w:tc>
          <w:tcPr>
            <w:tcW w:w="15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(0.92)</w:t>
            </w:r>
          </w:p>
        </w:tc>
        <w:tc>
          <w:tcPr>
            <w:tcW w:w="30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7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(1.27)</w:t>
            </w:r>
          </w:p>
        </w:tc>
        <w:tc>
          <w:tcPr>
            <w:tcW w:w="180" w:type="dxa"/>
            <w:vAlign w:val="bottom"/>
            <w:shd w:val="clear" w:color="auto" w:fill="CFF0FC"/>
          </w:tcPr>
          <w:p>
            <w:pPr>
              <w:jc w:val="right"/>
              <w:ind w:right="99"/>
              <w:spacing w:after="0"/>
              <w:rPr>
                <w:sz w:val="20"/>
                <w:szCs w:val="20"/>
                <w:color w:val="auto"/>
              </w:rPr>
            </w:pPr>
            <w:r>
              <w:rPr>
                <w:rFonts w:ascii="Arial" w:cs="Arial" w:eastAsia="Arial" w:hAnsi="Arial"/>
                <w:sz w:val="5"/>
                <w:szCs w:val="5"/>
                <w:color w:val="auto"/>
                <w:w w:val="70"/>
              </w:rPr>
              <w:t>$</w:t>
            </w: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(1.96)</w:t>
            </w:r>
          </w:p>
        </w:tc>
      </w:tr>
      <w:tr>
        <w:trPr>
          <w:trHeight w:val="416"/>
        </w:trPr>
        <w:tc>
          <w:tcPr>
            <w:tcW w:w="3320" w:type="dxa"/>
            <w:vAlign w:val="bottom"/>
          </w:tcPr>
          <w:p>
            <w:pPr>
              <w:spacing w:after="0"/>
              <w:rPr>
                <w:sz w:val="20"/>
                <w:szCs w:val="20"/>
                <w:color w:val="auto"/>
              </w:rPr>
            </w:pPr>
            <w:r>
              <w:rPr>
                <w:rFonts w:ascii="Arial" w:cs="Arial" w:eastAsia="Arial" w:hAnsi="Arial"/>
                <w:sz w:val="14"/>
                <w:szCs w:val="14"/>
                <w:b w:val="1"/>
                <w:bCs w:val="1"/>
                <w:color w:val="auto"/>
              </w:rPr>
              <w:t>Comprehensive income (loss):</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9"/>
        </w:trPr>
        <w:tc>
          <w:tcPr>
            <w:tcW w:w="33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8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For the Three Months Ended</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4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For the Nine Months Ended</w:t>
            </w:r>
          </w:p>
        </w:tc>
      </w:tr>
      <w:tr>
        <w:trPr>
          <w:trHeight w:val="155"/>
        </w:trPr>
        <w:tc>
          <w:tcPr>
            <w:tcW w:w="3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4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March 29, 2026</w:t>
            </w:r>
          </w:p>
        </w:tc>
        <w:tc>
          <w:tcPr>
            <w:tcW w:w="2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40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March 30, 2025</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420" w:type="dxa"/>
            <w:vAlign w:val="bottom"/>
            <w:tcBorders>
              <w:top w:val="single" w:sz="8" w:color="auto"/>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March 29, 2026</w:t>
            </w:r>
          </w:p>
        </w:tc>
        <w:tc>
          <w:tcPr>
            <w:tcW w:w="30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440" w:type="dxa"/>
            <w:vAlign w:val="bottom"/>
            <w:tcBorders>
              <w:top w:val="single" w:sz="8" w:color="auto"/>
              <w:bottom w:val="single" w:sz="8" w:color="auto"/>
            </w:tcBorders>
          </w:tcPr>
          <w:p>
            <w:pPr>
              <w:jc w:val="right"/>
              <w:ind w:right="248"/>
              <w:spacing w:after="0" w:line="155" w:lineRule="exact"/>
              <w:rPr>
                <w:sz w:val="20"/>
                <w:szCs w:val="20"/>
                <w:color w:val="auto"/>
              </w:rPr>
            </w:pPr>
            <w:r>
              <w:rPr>
                <w:rFonts w:ascii="Arial" w:cs="Arial" w:eastAsia="Arial" w:hAnsi="Arial"/>
                <w:sz w:val="14"/>
                <w:szCs w:val="14"/>
                <w:b w:val="1"/>
                <w:bCs w:val="1"/>
                <w:color w:val="auto"/>
              </w:rPr>
              <w:t>March 30, 2025</w:t>
            </w:r>
          </w:p>
        </w:tc>
        <w:tc>
          <w:tcPr>
            <w:tcW w:w="100" w:type="dxa"/>
            <w:vAlign w:val="bottom"/>
          </w:tcPr>
          <w:p>
            <w:pPr>
              <w:spacing w:after="0"/>
              <w:rPr>
                <w:sz w:val="13"/>
                <w:szCs w:val="13"/>
                <w:color w:val="auto"/>
              </w:rPr>
            </w:pPr>
          </w:p>
        </w:tc>
      </w:tr>
      <w:tr>
        <w:trPr>
          <w:trHeight w:val="156"/>
        </w:trPr>
        <w:tc>
          <w:tcPr>
            <w:tcW w:w="33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Net loss</w:t>
            </w:r>
          </w:p>
        </w:tc>
        <w:tc>
          <w:tcPr>
            <w:tcW w:w="700" w:type="dxa"/>
            <w:vAlign w:val="bottom"/>
            <w:gridSpan w:val="3"/>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660" w:type="dxa"/>
            <w:vAlign w:val="bottom"/>
            <w:gridSpan w:val="2"/>
            <w:shd w:val="clear" w:color="auto" w:fill="CFF0FC"/>
          </w:tcPr>
          <w:p>
            <w:pPr>
              <w:jc w:val="right"/>
              <w:ind w:right="140"/>
              <w:spacing w:after="0" w:line="155" w:lineRule="exact"/>
              <w:rPr>
                <w:sz w:val="20"/>
                <w:szCs w:val="20"/>
                <w:color w:val="auto"/>
              </w:rPr>
            </w:pPr>
            <w:r>
              <w:rPr>
                <w:rFonts w:ascii="Arial" w:cs="Arial" w:eastAsia="Arial" w:hAnsi="Arial"/>
                <w:sz w:val="14"/>
                <w:szCs w:val="14"/>
                <w:color w:val="auto"/>
              </w:rPr>
              <w:t>(2,306)</w:t>
            </w:r>
          </w:p>
        </w:tc>
        <w:tc>
          <w:tcPr>
            <w:tcW w:w="240" w:type="dxa"/>
            <w:vAlign w:val="bottom"/>
            <w:gridSpan w:val="2"/>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(16,794)</w:t>
            </w:r>
          </w:p>
        </w:tc>
        <w:tc>
          <w:tcPr>
            <w:tcW w:w="300" w:type="dxa"/>
            <w:vAlign w:val="bottom"/>
            <w:gridSpan w:val="2"/>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720" w:type="dxa"/>
            <w:vAlign w:val="bottom"/>
            <w:tcBorders>
              <w:right w:val="single" w:sz="8" w:color="CFF0FC"/>
            </w:tcBorders>
            <w:gridSpan w:val="2"/>
            <w:shd w:val="clear" w:color="auto" w:fill="CFF0FC"/>
          </w:tcPr>
          <w:p>
            <w:pPr>
              <w:jc w:val="right"/>
              <w:ind w:right="220"/>
              <w:spacing w:after="0" w:line="155" w:lineRule="exact"/>
              <w:rPr>
                <w:sz w:val="20"/>
                <w:szCs w:val="20"/>
                <w:color w:val="auto"/>
              </w:rPr>
            </w:pPr>
            <w:r>
              <w:rPr>
                <w:rFonts w:ascii="Arial" w:cs="Arial" w:eastAsia="Arial" w:hAnsi="Arial"/>
                <w:sz w:val="14"/>
                <w:szCs w:val="14"/>
                <w:color w:val="auto"/>
              </w:rPr>
              <w:t>(23,369)</w:t>
            </w:r>
          </w:p>
        </w:tc>
        <w:tc>
          <w:tcPr>
            <w:tcW w:w="180" w:type="dxa"/>
            <w:vAlign w:val="bottom"/>
            <w:shd w:val="clear" w:color="auto" w:fill="CFF0FC"/>
          </w:tcPr>
          <w:p>
            <w:pPr>
              <w:jc w:val="right"/>
              <w:ind w:right="59"/>
              <w:spacing w:after="0" w:line="155" w:lineRule="exact"/>
              <w:rPr>
                <w:sz w:val="20"/>
                <w:szCs w:val="20"/>
                <w:color w:val="auto"/>
              </w:rPr>
            </w:pPr>
            <w:r>
              <w:rPr>
                <w:rFonts w:ascii="Arial" w:cs="Arial" w:eastAsia="Arial" w:hAnsi="Arial"/>
                <w:sz w:val="14"/>
                <w:szCs w:val="14"/>
                <w:color w:val="auto"/>
                <w:w w:val="76"/>
              </w:rPr>
              <w:t>$</w:t>
            </w:r>
          </w:p>
        </w:tc>
        <w:tc>
          <w:tcPr>
            <w:tcW w:w="154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(35,818)</w:t>
            </w:r>
          </w:p>
        </w:tc>
      </w:tr>
      <w:tr>
        <w:trPr>
          <w:trHeight w:val="156"/>
        </w:trPr>
        <w:tc>
          <w:tcPr>
            <w:tcW w:w="3320" w:type="dxa"/>
            <w:vAlign w:val="bottom"/>
            <w:tcBorders>
              <w:top w:val="single" w:sz="8" w:color="CFF0FC"/>
            </w:tcBorders>
          </w:tcPr>
          <w:p>
            <w:pPr>
              <w:spacing w:after="0" w:line="155" w:lineRule="exact"/>
              <w:rPr>
                <w:sz w:val="20"/>
                <w:szCs w:val="20"/>
                <w:color w:val="auto"/>
              </w:rPr>
            </w:pPr>
            <w:r>
              <w:rPr>
                <w:rFonts w:ascii="Arial" w:cs="Arial" w:eastAsia="Arial" w:hAnsi="Arial"/>
                <w:sz w:val="14"/>
                <w:szCs w:val="14"/>
                <w:color w:val="auto"/>
              </w:rPr>
              <w:t>Other comprehensive income (loss):</w:t>
            </w:r>
          </w:p>
        </w:tc>
        <w:tc>
          <w:tcPr>
            <w:tcW w:w="46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260" w:type="dxa"/>
            <w:vAlign w:val="bottom"/>
            <w:tcBorders>
              <w:top w:val="single" w:sz="8" w:color="CFF0FC"/>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180" w:type="dxa"/>
            <w:vAlign w:val="bottom"/>
            <w:tcBorders>
              <w:top w:val="single" w:sz="8" w:color="CFF0FC"/>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300" w:type="dxa"/>
            <w:vAlign w:val="bottom"/>
            <w:tcBorders>
              <w:top w:val="single" w:sz="8" w:color="CFF0FC"/>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r>
      <w:tr>
        <w:trPr>
          <w:trHeight w:val="162"/>
        </w:trPr>
        <w:tc>
          <w:tcPr>
            <w:tcW w:w="3320" w:type="dxa"/>
            <w:vAlign w:val="bottom"/>
            <w:shd w:val="clear" w:color="auto" w:fill="CFF0FC"/>
          </w:tcPr>
          <w:p>
            <w:pPr>
              <w:spacing w:after="0"/>
              <w:rPr>
                <w:sz w:val="20"/>
                <w:szCs w:val="20"/>
                <w:color w:val="auto"/>
              </w:rPr>
            </w:pPr>
            <w:r>
              <w:rPr>
                <w:rFonts w:ascii="Arial" w:cs="Arial" w:eastAsia="Arial" w:hAnsi="Arial"/>
                <w:sz w:val="14"/>
                <w:szCs w:val="14"/>
                <w:color w:val="auto"/>
              </w:rPr>
              <w:t>Foreign currency translation adjustments</w:t>
            </w:r>
          </w:p>
        </w:tc>
        <w:tc>
          <w:tcPr>
            <w:tcW w:w="4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3,366</w:t>
            </w:r>
          </w:p>
        </w:tc>
        <w:tc>
          <w:tcPr>
            <w:tcW w:w="260" w:type="dxa"/>
            <w:vAlign w:val="bottom"/>
            <w:tcBorders>
              <w:lef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7,194</w:t>
            </w:r>
          </w:p>
        </w:tc>
        <w:tc>
          <w:tcPr>
            <w:tcW w:w="180" w:type="dxa"/>
            <w:vAlign w:val="bottom"/>
            <w:tcBorders>
              <w:lef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tcBorders>
              <w:left w:val="single" w:sz="8" w:color="CFF0FC"/>
            </w:tcBorders>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3,587</w:t>
            </w:r>
          </w:p>
        </w:tc>
        <w:tc>
          <w:tcPr>
            <w:tcW w:w="300" w:type="dxa"/>
            <w:vAlign w:val="bottom"/>
            <w:tcBorders>
              <w:left w:val="single" w:sz="8" w:color="CFF0FC"/>
              <w:right w:val="single" w:sz="8" w:color="CFF0FC"/>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(1,524)</w:t>
            </w:r>
          </w:p>
        </w:tc>
      </w:tr>
      <w:tr>
        <w:trPr>
          <w:trHeight w:val="20"/>
        </w:trPr>
        <w:tc>
          <w:tcPr>
            <w:tcW w:w="3320" w:type="dxa"/>
            <w:vAlign w:val="bottom"/>
            <w:shd w:val="clear" w:color="auto" w:fill="CFF0FC"/>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tcBorders>
              <w:left w:val="single" w:sz="8" w:color="CFF0FC"/>
            </w:tcBorders>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0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4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55"/>
        </w:trPr>
        <w:tc>
          <w:tcPr>
            <w:tcW w:w="3320" w:type="dxa"/>
            <w:vAlign w:val="bottom"/>
          </w:tcPr>
          <w:p>
            <w:pPr>
              <w:spacing w:after="0" w:line="155" w:lineRule="exact"/>
              <w:rPr>
                <w:sz w:val="20"/>
                <w:szCs w:val="20"/>
                <w:color w:val="auto"/>
              </w:rPr>
            </w:pPr>
            <w:r>
              <w:rPr>
                <w:rFonts w:ascii="Arial" w:cs="Arial" w:eastAsia="Arial" w:hAnsi="Arial"/>
                <w:sz w:val="14"/>
                <w:szCs w:val="14"/>
                <w:color w:val="auto"/>
              </w:rPr>
              <w:t>Other comprehensive income (loss)</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jc w:val="right"/>
              <w:spacing w:after="0" w:line="155" w:lineRule="exact"/>
              <w:rPr>
                <w:sz w:val="20"/>
                <w:szCs w:val="20"/>
                <w:color w:val="auto"/>
              </w:rPr>
            </w:pPr>
            <w:r>
              <w:rPr>
                <w:rFonts w:ascii="Arial" w:cs="Arial" w:eastAsia="Arial" w:hAnsi="Arial"/>
                <w:sz w:val="14"/>
                <w:szCs w:val="14"/>
                <w:color w:val="auto"/>
              </w:rPr>
              <w:t>3,366</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jc w:val="right"/>
              <w:spacing w:after="0" w:line="155" w:lineRule="exact"/>
              <w:rPr>
                <w:sz w:val="20"/>
                <w:szCs w:val="20"/>
                <w:color w:val="auto"/>
              </w:rPr>
            </w:pPr>
            <w:r>
              <w:rPr>
                <w:rFonts w:ascii="Arial" w:cs="Arial" w:eastAsia="Arial" w:hAnsi="Arial"/>
                <w:sz w:val="14"/>
                <w:szCs w:val="14"/>
                <w:color w:val="auto"/>
              </w:rPr>
              <w:t>7,194</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jc w:val="right"/>
              <w:spacing w:after="0" w:line="155" w:lineRule="exact"/>
              <w:rPr>
                <w:sz w:val="20"/>
                <w:szCs w:val="20"/>
                <w:color w:val="auto"/>
              </w:rPr>
            </w:pPr>
            <w:r>
              <w:rPr>
                <w:rFonts w:ascii="Arial" w:cs="Arial" w:eastAsia="Arial" w:hAnsi="Arial"/>
                <w:sz w:val="14"/>
                <w:szCs w:val="14"/>
                <w:color w:val="auto"/>
              </w:rPr>
              <w:t>3,587</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(1,524)</w:t>
            </w:r>
          </w:p>
        </w:tc>
      </w:tr>
      <w:tr>
        <w:trPr>
          <w:trHeight w:val="195"/>
        </w:trPr>
        <w:tc>
          <w:tcPr>
            <w:tcW w:w="332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Comprehensive income (loss)</w:t>
            </w:r>
          </w:p>
        </w:tc>
        <w:tc>
          <w:tcPr>
            <w:tcW w:w="580" w:type="dxa"/>
            <w:vAlign w:val="bottom"/>
            <w:tcBorders>
              <w:bottom w:val="single" w:sz="8" w:color="CFF0FC"/>
            </w:tcBorders>
            <w:gridSpan w:val="2"/>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1,060</w:t>
            </w:r>
          </w:p>
        </w:tc>
        <w:tc>
          <w:tcPr>
            <w:tcW w:w="260" w:type="dxa"/>
            <w:vAlign w:val="bottom"/>
            <w:tcBorders>
              <w:left w:val="single" w:sz="8" w:color="CFF0FC"/>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(9,600)</w:t>
            </w:r>
          </w:p>
        </w:tc>
        <w:tc>
          <w:tcPr>
            <w:tcW w:w="180" w:type="dxa"/>
            <w:vAlign w:val="bottom"/>
            <w:tcBorders>
              <w:left w:val="single" w:sz="8" w:color="CFF0FC"/>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left w:val="single" w:sz="8" w:color="CFF0FC"/>
              <w:bottom w:val="single" w:sz="8" w:color="auto"/>
            </w:tcBorders>
            <w:shd w:val="clear" w:color="auto" w:fill="CFF0FC"/>
          </w:tcPr>
          <w:p>
            <w:pPr>
              <w:jc w:val="right"/>
              <w:ind w:right="8"/>
              <w:spacing w:after="0" w:line="142" w:lineRule="exact"/>
              <w:rPr>
                <w:sz w:val="20"/>
                <w:szCs w:val="20"/>
                <w:color w:val="auto"/>
              </w:rPr>
            </w:pPr>
            <w:r>
              <w:rPr>
                <w:rFonts w:ascii="Arial" w:cs="Arial" w:eastAsia="Arial" w:hAnsi="Arial"/>
                <w:sz w:val="14"/>
                <w:szCs w:val="14"/>
                <w:color w:val="auto"/>
              </w:rPr>
              <w:t>$</w:t>
            </w:r>
          </w:p>
        </w:tc>
        <w:tc>
          <w:tcPr>
            <w:tcW w:w="14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(19,782)</w:t>
            </w:r>
          </w:p>
        </w:tc>
        <w:tc>
          <w:tcPr>
            <w:tcW w:w="300" w:type="dxa"/>
            <w:vAlign w:val="bottom"/>
            <w:tcBorders>
              <w:left w:val="single" w:sz="8" w:color="CFF0FC"/>
              <w:bottom w:val="single" w:sz="8" w:color="CFF0FC"/>
              <w:right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ind w:right="59"/>
              <w:spacing w:after="0" w:line="142" w:lineRule="exact"/>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bottom w:val="single" w:sz="8" w:color="auto"/>
              <w:right w:val="single" w:sz="8" w:color="CFF0FC"/>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(37,342)</w:t>
            </w:r>
          </w:p>
        </w:tc>
        <w:tc>
          <w:tcPr>
            <w:tcW w:w="10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-1550670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-1534160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-1550670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-1534160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-1550670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-1534160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-1550670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-1534160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-462280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-462280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-462280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-462280</wp:posOffset>
            </wp:positionV>
            <wp:extent cx="77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-248285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-248285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-248285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-248285</wp:posOffset>
            </wp:positionV>
            <wp:extent cx="77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-25400</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-8255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-25400</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-8255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-25400</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-8255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4"/>
          <w:szCs w:val="14"/>
          <w:b w:val="1"/>
          <w:bCs w:val="1"/>
          <w:color w:val="auto"/>
        </w:rPr>
        <w:t>CONDENSED CONSOLIDATED STATEMENTS OF SHAREHOLDERS’ EQUITY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vMerge w:val="restart"/>
          </w:tcPr>
          <w:p>
            <w:pPr>
              <w:jc w:val="center"/>
              <w:ind w:right="400"/>
              <w:spacing w:after="0"/>
              <w:rPr>
                <w:sz w:val="20"/>
                <w:szCs w:val="20"/>
                <w:color w:val="auto"/>
              </w:rPr>
            </w:pPr>
            <w:r>
              <w:rPr>
                <w:rFonts w:ascii="Arial" w:cs="Arial" w:eastAsia="Arial" w:hAnsi="Arial"/>
                <w:sz w:val="13"/>
                <w:szCs w:val="13"/>
                <w:b w:val="1"/>
                <w:bCs w:val="1"/>
                <w:color w:val="auto"/>
              </w:rPr>
              <w:t>Capital in</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vMerge w:val="restart"/>
          </w:tcPr>
          <w:p>
            <w:pPr>
              <w:jc w:val="center"/>
              <w:ind w:right="3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jc w:val="center"/>
              <w:ind w:right="420"/>
              <w:spacing w:after="0"/>
              <w:rPr>
                <w:sz w:val="20"/>
                <w:szCs w:val="20"/>
                <w:color w:val="auto"/>
              </w:rPr>
            </w:pPr>
            <w:r>
              <w:rPr>
                <w:rFonts w:ascii="Arial" w:cs="Arial" w:eastAsia="Arial" w:hAnsi="Arial"/>
                <w:sz w:val="13"/>
                <w:szCs w:val="13"/>
                <w:b w:val="1"/>
                <w:bCs w:val="1"/>
                <w:color w:val="auto"/>
              </w:rPr>
              <w:t>Common</w:t>
            </w: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Retained</w:t>
            </w:r>
          </w:p>
        </w:tc>
        <w:tc>
          <w:tcPr>
            <w:tcW w:w="100" w:type="dxa"/>
            <w:vAlign w:val="bottom"/>
          </w:tcPr>
          <w:p>
            <w:pPr>
              <w:spacing w:after="0"/>
              <w:rPr>
                <w:sz w:val="12"/>
                <w:szCs w:val="12"/>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rPr>
              <w:t>Other</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940" w:type="dxa"/>
            <w:vAlign w:val="bottom"/>
            <w:vMerge w:val="restart"/>
          </w:tcPr>
          <w:p>
            <w:pPr>
              <w:jc w:val="right"/>
              <w:ind w:right="193"/>
              <w:spacing w:after="0"/>
              <w:rPr>
                <w:sz w:val="20"/>
                <w:szCs w:val="20"/>
                <w:color w:val="auto"/>
              </w:rPr>
            </w:pPr>
            <w:r>
              <w:rPr>
                <w:rFonts w:ascii="Arial" w:cs="Arial" w:eastAsia="Arial" w:hAnsi="Arial"/>
                <w:sz w:val="13"/>
                <w:szCs w:val="13"/>
                <w:b w:val="1"/>
                <w:bCs w:val="1"/>
                <w:color w:val="auto"/>
              </w:rPr>
              <w:t>Shares</w:t>
            </w:r>
          </w:p>
        </w:tc>
        <w:tc>
          <w:tcPr>
            <w:tcW w:w="14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160" w:type="dxa"/>
            <w:vAlign w:val="bottom"/>
            <w:gridSpan w:val="3"/>
          </w:tcPr>
          <w:p>
            <w:pPr>
              <w:spacing w:after="0"/>
              <w:rPr>
                <w:sz w:val="20"/>
                <w:szCs w:val="20"/>
                <w:color w:val="auto"/>
              </w:rPr>
            </w:pPr>
            <w:r>
              <w:rPr>
                <w:rFonts w:ascii="Arial" w:cs="Arial" w:eastAsia="Arial" w:hAnsi="Arial"/>
                <w:sz w:val="13"/>
                <w:szCs w:val="13"/>
                <w:b w:val="1"/>
                <w:bCs w:val="1"/>
                <w:color w:val="auto"/>
              </w:rPr>
              <w:t>Excess of Par</w:t>
            </w: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6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rPr>
              <w:t>Comprehensive</w:t>
            </w:r>
          </w:p>
        </w:tc>
        <w:tc>
          <w:tcPr>
            <w:tcW w:w="100" w:type="dxa"/>
            <w:vAlign w:val="bottom"/>
          </w:tcPr>
          <w:p>
            <w:pPr>
              <w:spacing w:after="0"/>
              <w:rPr>
                <w:sz w:val="12"/>
                <w:szCs w:val="12"/>
                <w:color w:val="auto"/>
              </w:rPr>
            </w:pPr>
          </w:p>
        </w:tc>
        <w:tc>
          <w:tcPr>
            <w:tcW w:w="1100" w:type="dxa"/>
            <w:vAlign w:val="bottom"/>
            <w:gridSpan w:val="3"/>
          </w:tcPr>
          <w:p>
            <w:pPr>
              <w:ind w:left="20"/>
              <w:spacing w:after="0"/>
              <w:rPr>
                <w:sz w:val="20"/>
                <w:szCs w:val="20"/>
                <w:color w:val="auto"/>
              </w:rPr>
            </w:pPr>
            <w:r>
              <w:rPr>
                <w:rFonts w:ascii="Arial" w:cs="Arial" w:eastAsia="Arial" w:hAnsi="Arial"/>
                <w:sz w:val="13"/>
                <w:szCs w:val="13"/>
                <w:b w:val="1"/>
                <w:bCs w:val="1"/>
                <w:color w:val="auto"/>
              </w:rPr>
              <w:t>Shareholders’</w:t>
            </w:r>
          </w:p>
        </w:tc>
        <w:tc>
          <w:tcPr>
            <w:tcW w:w="0" w:type="dxa"/>
            <w:vAlign w:val="bottom"/>
          </w:tcPr>
          <w:p>
            <w:pPr>
              <w:spacing w:after="0"/>
              <w:rPr>
                <w:sz w:val="1"/>
                <w:szCs w:val="1"/>
                <w:color w:val="auto"/>
              </w:rPr>
            </w:pPr>
          </w:p>
        </w:tc>
      </w:tr>
      <w:tr>
        <w:trPr>
          <w:trHeight w:val="163"/>
        </w:trPr>
        <w:tc>
          <w:tcPr>
            <w:tcW w:w="4120" w:type="dxa"/>
            <w:vAlign w:val="bottom"/>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53"/>
              <w:spacing w:after="0"/>
              <w:rPr>
                <w:sz w:val="20"/>
                <w:szCs w:val="20"/>
                <w:color w:val="auto"/>
              </w:rPr>
            </w:pPr>
            <w:r>
              <w:rPr>
                <w:rFonts w:ascii="Arial" w:cs="Arial" w:eastAsia="Arial" w:hAnsi="Arial"/>
                <w:sz w:val="13"/>
                <w:szCs w:val="13"/>
                <w:b w:val="1"/>
                <w:bCs w:val="1"/>
                <w:color w:val="auto"/>
              </w:rPr>
              <w:t>Stock</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53"/>
              <w:spacing w:after="0"/>
              <w:rPr>
                <w:sz w:val="20"/>
                <w:szCs w:val="20"/>
                <w:color w:val="auto"/>
              </w:rPr>
            </w:pPr>
            <w:r>
              <w:rPr>
                <w:rFonts w:ascii="Arial" w:cs="Arial" w:eastAsia="Arial" w:hAnsi="Arial"/>
                <w:sz w:val="13"/>
                <w:szCs w:val="13"/>
                <w:b w:val="1"/>
                <w:bCs w:val="1"/>
                <w:color w:val="auto"/>
              </w:rPr>
              <w:t>Value</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Earnings</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3"/>
              <w:spacing w:after="0"/>
              <w:rPr>
                <w:sz w:val="20"/>
                <w:szCs w:val="20"/>
                <w:color w:val="auto"/>
              </w:rPr>
            </w:pPr>
            <w:r>
              <w:rPr>
                <w:rFonts w:ascii="Arial" w:cs="Arial" w:eastAsia="Arial" w:hAnsi="Arial"/>
                <w:sz w:val="13"/>
                <w:szCs w:val="13"/>
                <w:b w:val="1"/>
                <w:bCs w:val="1"/>
                <w:color w:val="auto"/>
                <w:w w:val="98"/>
              </w:rPr>
              <w:t>Loss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13"/>
              <w:spacing w:after="0"/>
              <w:rPr>
                <w:sz w:val="20"/>
                <w:szCs w:val="20"/>
                <w:color w:val="auto"/>
              </w:rPr>
            </w:pPr>
            <w:r>
              <w:rPr>
                <w:rFonts w:ascii="Arial" w:cs="Arial" w:eastAsia="Arial" w:hAnsi="Arial"/>
                <w:sz w:val="13"/>
                <w:szCs w:val="13"/>
                <w:b w:val="1"/>
                <w:bCs w:val="1"/>
                <w:color w:val="auto"/>
              </w:rPr>
              <w:t>Equity</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2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Balance at December 28, 2025</w:t>
            </w:r>
          </w:p>
        </w:tc>
        <w:tc>
          <w:tcPr>
            <w:tcW w:w="9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18,578</w:t>
            </w:r>
          </w:p>
        </w:tc>
        <w:tc>
          <w:tcPr>
            <w:tcW w:w="14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1,858</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75,442</w:t>
            </w: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7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217,986</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1160" w:type="dxa"/>
            <w:vAlign w:val="bottom"/>
            <w:gridSpan w:val="2"/>
            <w:shd w:val="clear" w:color="auto" w:fill="CFF0FC"/>
          </w:tcPr>
          <w:p>
            <w:pPr>
              <w:jc w:val="right"/>
              <w:ind w:right="100"/>
              <w:spacing w:after="0" w:line="142" w:lineRule="exact"/>
              <w:rPr>
                <w:sz w:val="20"/>
                <w:szCs w:val="20"/>
                <w:color w:val="auto"/>
              </w:rPr>
            </w:pPr>
            <w:r>
              <w:rPr>
                <w:rFonts w:ascii="Arial" w:cs="Arial" w:eastAsia="Arial" w:hAnsi="Arial"/>
                <w:sz w:val="13"/>
                <w:szCs w:val="13"/>
                <w:color w:val="auto"/>
              </w:rPr>
              <w:t>(65,288)</w:t>
            </w:r>
          </w:p>
        </w:tc>
        <w:tc>
          <w:tcPr>
            <w:tcW w:w="280" w:type="dxa"/>
            <w:vAlign w:val="bottom"/>
            <w:gridSpan w:val="2"/>
            <w:shd w:val="clear" w:color="auto" w:fill="CFF0FC"/>
          </w:tcPr>
          <w:p>
            <w:pPr>
              <w:ind w:left="100"/>
              <w:spacing w:after="0" w:line="142" w:lineRule="exact"/>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229,998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20"/>
                <w:szCs w:val="20"/>
                <w:color w:val="auto"/>
              </w:rPr>
            </w:pPr>
            <w:r>
              <w:rPr>
                <w:rFonts w:ascii="Arial" w:cs="Arial" w:eastAsia="Arial" w:hAnsi="Arial"/>
                <w:sz w:val="13"/>
                <w:szCs w:val="13"/>
                <w:color w:val="auto"/>
              </w:rPr>
              <w:t>Conversion of equity units</w:t>
            </w:r>
          </w:p>
        </w:tc>
        <w:tc>
          <w:tcPr>
            <w:tcW w:w="940" w:type="dxa"/>
            <w:vAlign w:val="bottom"/>
          </w:tcPr>
          <w:p>
            <w:pPr>
              <w:jc w:val="right"/>
              <w:spacing w:after="0"/>
              <w:rPr>
                <w:sz w:val="20"/>
                <w:szCs w:val="20"/>
                <w:color w:val="auto"/>
              </w:rPr>
            </w:pPr>
            <w:r>
              <w:rPr>
                <w:rFonts w:ascii="Arial" w:cs="Arial" w:eastAsia="Arial" w:hAnsi="Arial"/>
                <w:sz w:val="13"/>
                <w:szCs w:val="13"/>
                <w:color w:val="auto"/>
              </w:rPr>
              <w:t>13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2"/>
                <w:szCs w:val="1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4120" w:type="dxa"/>
            <w:vAlign w:val="bottom"/>
            <w:shd w:val="clear" w:color="auto" w:fill="CFF0FC"/>
          </w:tcPr>
          <w:p>
            <w:pPr>
              <w:spacing w:after="0"/>
              <w:rPr>
                <w:sz w:val="20"/>
                <w:szCs w:val="20"/>
                <w:color w:val="auto"/>
              </w:rPr>
            </w:pPr>
            <w:r>
              <w:rPr>
                <w:rFonts w:ascii="Arial" w:cs="Arial" w:eastAsia="Arial" w:hAnsi="Arial"/>
                <w:sz w:val="13"/>
                <w:szCs w:val="13"/>
                <w:color w:val="auto"/>
              </w:rPr>
              <w:t>Stock-based compensation</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823</w:t>
            </w: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4120" w:type="dxa"/>
            <w:vAlign w:val="bottom"/>
          </w:tcPr>
          <w:p>
            <w:pPr>
              <w:spacing w:after="0" w:line="136" w:lineRule="exact"/>
              <w:rPr>
                <w:sz w:val="20"/>
                <w:szCs w:val="20"/>
                <w:color w:val="auto"/>
              </w:rPr>
            </w:pPr>
            <w:r>
              <w:rPr>
                <w:rFonts w:ascii="Arial" w:cs="Arial" w:eastAsia="Arial" w:hAnsi="Arial"/>
                <w:sz w:val="13"/>
                <w:szCs w:val="13"/>
                <w:color w:val="auto"/>
              </w:rPr>
              <w:t>Common stock withheld in satisfaction of tax withholding</w:t>
            </w: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120" w:type="dxa"/>
            <w:vAlign w:val="bottom"/>
          </w:tcPr>
          <w:p>
            <w:pPr>
              <w:spacing w:after="0"/>
              <w:rPr>
                <w:sz w:val="20"/>
                <w:szCs w:val="20"/>
                <w:color w:val="auto"/>
              </w:rPr>
            </w:pPr>
            <w:r>
              <w:rPr>
                <w:rFonts w:ascii="Arial" w:cs="Arial" w:eastAsia="Arial" w:hAnsi="Arial"/>
                <w:sz w:val="13"/>
                <w:szCs w:val="13"/>
                <w:color w:val="auto"/>
              </w:rPr>
              <w:t>obligations under net share settle transactions</w:t>
            </w: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14"/>
                <w:szCs w:val="1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48"/>
        </w:trPr>
        <w:tc>
          <w:tcPr>
            <w:tcW w:w="4120" w:type="dxa"/>
            <w:vAlign w:val="bottom"/>
            <w:shd w:val="clear" w:color="auto" w:fill="CFF0FC"/>
          </w:tcPr>
          <w:p>
            <w:pPr>
              <w:spacing w:after="0"/>
              <w:rPr>
                <w:sz w:val="20"/>
                <w:szCs w:val="20"/>
                <w:color w:val="auto"/>
              </w:rPr>
            </w:pPr>
            <w:r>
              <w:rPr>
                <w:rFonts w:ascii="Arial" w:cs="Arial" w:eastAsia="Arial" w:hAnsi="Arial"/>
                <w:sz w:val="13"/>
                <w:szCs w:val="13"/>
                <w:color w:val="auto"/>
              </w:rPr>
              <w:t>Other comprehensive income, net of tax</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3,366</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3,366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20"/>
                <w:szCs w:val="20"/>
                <w:color w:val="auto"/>
              </w:rPr>
            </w:pPr>
            <w:r>
              <w:rPr>
                <w:rFonts w:ascii="Arial" w:cs="Arial" w:eastAsia="Arial" w:hAnsi="Arial"/>
                <w:sz w:val="13"/>
                <w:szCs w:val="13"/>
                <w:color w:val="auto"/>
              </w:rPr>
              <w:t>Net loss</w:t>
            </w: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3"/>
                <w:szCs w:val="13"/>
                <w:color w:val="auto"/>
              </w:rPr>
              <w:t>(2,306)</w:t>
            </w:r>
          </w:p>
        </w:tc>
        <w:tc>
          <w:tcPr>
            <w:tcW w:w="100" w:type="dxa"/>
            <w:vAlign w:val="bottom"/>
          </w:tcPr>
          <w:p>
            <w:pPr>
              <w:spacing w:after="0"/>
              <w:rPr>
                <w:sz w:val="12"/>
                <w:szCs w:val="12"/>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3"/>
                <w:szCs w:val="13"/>
                <w:color w:val="auto"/>
              </w:rPr>
              <w:t>(2,306)</w:t>
            </w:r>
          </w:p>
        </w:tc>
        <w:tc>
          <w:tcPr>
            <w:tcW w:w="0" w:type="dxa"/>
            <w:vAlign w:val="bottom"/>
          </w:tcPr>
          <w:p>
            <w:pPr>
              <w:spacing w:after="0"/>
              <w:rPr>
                <w:sz w:val="1"/>
                <w:szCs w:val="1"/>
                <w:color w:val="auto"/>
              </w:rPr>
            </w:pPr>
          </w:p>
        </w:tc>
      </w:tr>
      <w:tr>
        <w:trPr>
          <w:trHeight w:val="182"/>
        </w:trPr>
        <w:tc>
          <w:tcPr>
            <w:tcW w:w="4120" w:type="dxa"/>
            <w:vAlign w:val="bottom"/>
            <w:tcBorders>
              <w:bottom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rPr>
              <w:t>Balance at March 29, 2026</w:t>
            </w:r>
          </w:p>
        </w:tc>
        <w:tc>
          <w:tcPr>
            <w:tcW w:w="9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18,587</w:t>
            </w:r>
          </w:p>
        </w:tc>
        <w:tc>
          <w:tcPr>
            <w:tcW w:w="1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1,859</w:t>
            </w:r>
          </w:p>
        </w:tc>
        <w:tc>
          <w:tcPr>
            <w:tcW w:w="2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spacing w:after="0" w:line="129" w:lineRule="exact"/>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76,254</w:t>
            </w:r>
          </w:p>
        </w:tc>
        <w:tc>
          <w:tcPr>
            <w:tcW w:w="2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215,680</w:t>
            </w:r>
          </w:p>
        </w:tc>
        <w:tc>
          <w:tcPr>
            <w:tcW w:w="2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(61,922)</w:t>
            </w:r>
          </w:p>
        </w:tc>
        <w:tc>
          <w:tcPr>
            <w:tcW w:w="1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spacing w:after="0" w:line="129" w:lineRule="exact"/>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231,871</w:t>
            </w:r>
          </w:p>
        </w:tc>
        <w:tc>
          <w:tcPr>
            <w:tcW w:w="1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330"/>
        </w:trPr>
        <w:tc>
          <w:tcPr>
            <w:tcW w:w="4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vMerge w:val="restart"/>
          </w:tcPr>
          <w:p>
            <w:pPr>
              <w:jc w:val="center"/>
              <w:ind w:right="400"/>
              <w:spacing w:after="0"/>
              <w:rPr>
                <w:sz w:val="20"/>
                <w:szCs w:val="20"/>
                <w:color w:val="auto"/>
              </w:rPr>
            </w:pPr>
            <w:r>
              <w:rPr>
                <w:rFonts w:ascii="Arial" w:cs="Arial" w:eastAsia="Arial" w:hAnsi="Arial"/>
                <w:sz w:val="13"/>
                <w:szCs w:val="13"/>
                <w:b w:val="1"/>
                <w:bCs w:val="1"/>
                <w:color w:val="auto"/>
              </w:rPr>
              <w:t>Capital in</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vMerge w:val="restart"/>
          </w:tcPr>
          <w:p>
            <w:pPr>
              <w:jc w:val="center"/>
              <w:ind w:right="3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jc w:val="center"/>
              <w:ind w:right="420"/>
              <w:spacing w:after="0"/>
              <w:rPr>
                <w:sz w:val="20"/>
                <w:szCs w:val="20"/>
                <w:color w:val="auto"/>
              </w:rPr>
            </w:pPr>
            <w:r>
              <w:rPr>
                <w:rFonts w:ascii="Arial" w:cs="Arial" w:eastAsia="Arial" w:hAnsi="Arial"/>
                <w:sz w:val="13"/>
                <w:szCs w:val="13"/>
                <w:b w:val="1"/>
                <w:bCs w:val="1"/>
                <w:color w:val="auto"/>
              </w:rPr>
              <w:t>Common</w:t>
            </w: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Retained</w:t>
            </w:r>
          </w:p>
        </w:tc>
        <w:tc>
          <w:tcPr>
            <w:tcW w:w="100" w:type="dxa"/>
            <w:vAlign w:val="bottom"/>
          </w:tcPr>
          <w:p>
            <w:pPr>
              <w:spacing w:after="0"/>
              <w:rPr>
                <w:sz w:val="12"/>
                <w:szCs w:val="12"/>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rPr>
              <w:t>Other</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940" w:type="dxa"/>
            <w:vAlign w:val="bottom"/>
            <w:vMerge w:val="restart"/>
          </w:tcPr>
          <w:p>
            <w:pPr>
              <w:jc w:val="right"/>
              <w:ind w:right="193"/>
              <w:spacing w:after="0"/>
              <w:rPr>
                <w:sz w:val="20"/>
                <w:szCs w:val="20"/>
                <w:color w:val="auto"/>
              </w:rPr>
            </w:pPr>
            <w:r>
              <w:rPr>
                <w:rFonts w:ascii="Arial" w:cs="Arial" w:eastAsia="Arial" w:hAnsi="Arial"/>
                <w:sz w:val="13"/>
                <w:szCs w:val="13"/>
                <w:b w:val="1"/>
                <w:bCs w:val="1"/>
                <w:color w:val="auto"/>
              </w:rPr>
              <w:t>Shares</w:t>
            </w:r>
          </w:p>
        </w:tc>
        <w:tc>
          <w:tcPr>
            <w:tcW w:w="14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160" w:type="dxa"/>
            <w:vAlign w:val="bottom"/>
            <w:gridSpan w:val="3"/>
          </w:tcPr>
          <w:p>
            <w:pPr>
              <w:spacing w:after="0"/>
              <w:rPr>
                <w:sz w:val="20"/>
                <w:szCs w:val="20"/>
                <w:color w:val="auto"/>
              </w:rPr>
            </w:pPr>
            <w:r>
              <w:rPr>
                <w:rFonts w:ascii="Arial" w:cs="Arial" w:eastAsia="Arial" w:hAnsi="Arial"/>
                <w:sz w:val="13"/>
                <w:szCs w:val="13"/>
                <w:b w:val="1"/>
                <w:bCs w:val="1"/>
                <w:color w:val="auto"/>
              </w:rPr>
              <w:t>Excess of Par</w:t>
            </w: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6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rPr>
              <w:t>Comprehensive</w:t>
            </w:r>
          </w:p>
        </w:tc>
        <w:tc>
          <w:tcPr>
            <w:tcW w:w="100" w:type="dxa"/>
            <w:vAlign w:val="bottom"/>
          </w:tcPr>
          <w:p>
            <w:pPr>
              <w:spacing w:after="0"/>
              <w:rPr>
                <w:sz w:val="12"/>
                <w:szCs w:val="12"/>
                <w:color w:val="auto"/>
              </w:rPr>
            </w:pPr>
          </w:p>
        </w:tc>
        <w:tc>
          <w:tcPr>
            <w:tcW w:w="1100" w:type="dxa"/>
            <w:vAlign w:val="bottom"/>
            <w:gridSpan w:val="3"/>
          </w:tcPr>
          <w:p>
            <w:pPr>
              <w:ind w:left="20"/>
              <w:spacing w:after="0"/>
              <w:rPr>
                <w:sz w:val="20"/>
                <w:szCs w:val="20"/>
                <w:color w:val="auto"/>
              </w:rPr>
            </w:pPr>
            <w:r>
              <w:rPr>
                <w:rFonts w:ascii="Arial" w:cs="Arial" w:eastAsia="Arial" w:hAnsi="Arial"/>
                <w:sz w:val="13"/>
                <w:szCs w:val="13"/>
                <w:b w:val="1"/>
                <w:bCs w:val="1"/>
                <w:color w:val="auto"/>
              </w:rPr>
              <w:t>Shareholders’</w:t>
            </w:r>
          </w:p>
        </w:tc>
        <w:tc>
          <w:tcPr>
            <w:tcW w:w="0" w:type="dxa"/>
            <w:vAlign w:val="bottom"/>
          </w:tcPr>
          <w:p>
            <w:pPr>
              <w:spacing w:after="0"/>
              <w:rPr>
                <w:sz w:val="1"/>
                <w:szCs w:val="1"/>
                <w:color w:val="auto"/>
              </w:rPr>
            </w:pPr>
          </w:p>
        </w:tc>
      </w:tr>
      <w:tr>
        <w:trPr>
          <w:trHeight w:val="163"/>
        </w:trPr>
        <w:tc>
          <w:tcPr>
            <w:tcW w:w="4120" w:type="dxa"/>
            <w:vAlign w:val="bottom"/>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53"/>
              <w:spacing w:after="0"/>
              <w:rPr>
                <w:sz w:val="20"/>
                <w:szCs w:val="20"/>
                <w:color w:val="auto"/>
              </w:rPr>
            </w:pPr>
            <w:r>
              <w:rPr>
                <w:rFonts w:ascii="Arial" w:cs="Arial" w:eastAsia="Arial" w:hAnsi="Arial"/>
                <w:sz w:val="13"/>
                <w:szCs w:val="13"/>
                <w:b w:val="1"/>
                <w:bCs w:val="1"/>
                <w:color w:val="auto"/>
              </w:rPr>
              <w:t>Stock</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53"/>
              <w:spacing w:after="0"/>
              <w:rPr>
                <w:sz w:val="20"/>
                <w:szCs w:val="20"/>
                <w:color w:val="auto"/>
              </w:rPr>
            </w:pPr>
            <w:r>
              <w:rPr>
                <w:rFonts w:ascii="Arial" w:cs="Arial" w:eastAsia="Arial" w:hAnsi="Arial"/>
                <w:sz w:val="13"/>
                <w:szCs w:val="13"/>
                <w:b w:val="1"/>
                <w:bCs w:val="1"/>
                <w:color w:val="auto"/>
              </w:rPr>
              <w:t>Value</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Earnings</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3"/>
              <w:spacing w:after="0"/>
              <w:rPr>
                <w:sz w:val="20"/>
                <w:szCs w:val="20"/>
                <w:color w:val="auto"/>
              </w:rPr>
            </w:pPr>
            <w:r>
              <w:rPr>
                <w:rFonts w:ascii="Arial" w:cs="Arial" w:eastAsia="Arial" w:hAnsi="Arial"/>
                <w:sz w:val="13"/>
                <w:szCs w:val="13"/>
                <w:b w:val="1"/>
                <w:bCs w:val="1"/>
                <w:color w:val="auto"/>
                <w:w w:val="98"/>
              </w:rPr>
              <w:t>Loss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13"/>
              <w:spacing w:after="0"/>
              <w:rPr>
                <w:sz w:val="20"/>
                <w:szCs w:val="20"/>
                <w:color w:val="auto"/>
              </w:rPr>
            </w:pPr>
            <w:r>
              <w:rPr>
                <w:rFonts w:ascii="Arial" w:cs="Arial" w:eastAsia="Arial" w:hAnsi="Arial"/>
                <w:sz w:val="13"/>
                <w:szCs w:val="13"/>
                <w:b w:val="1"/>
                <w:bCs w:val="1"/>
                <w:color w:val="auto"/>
              </w:rPr>
              <w:t>Equity</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2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Balance at June 29, 2025</w:t>
            </w:r>
          </w:p>
        </w:tc>
        <w:tc>
          <w:tcPr>
            <w:tcW w:w="9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18,361</w:t>
            </w:r>
          </w:p>
        </w:tc>
        <w:tc>
          <w:tcPr>
            <w:tcW w:w="14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1,836</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74,095</w:t>
            </w: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7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239,049</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1160" w:type="dxa"/>
            <w:vAlign w:val="bottom"/>
            <w:gridSpan w:val="2"/>
            <w:shd w:val="clear" w:color="auto" w:fill="CFF0FC"/>
          </w:tcPr>
          <w:p>
            <w:pPr>
              <w:jc w:val="right"/>
              <w:ind w:right="100"/>
              <w:spacing w:after="0" w:line="142" w:lineRule="exact"/>
              <w:rPr>
                <w:sz w:val="20"/>
                <w:szCs w:val="20"/>
                <w:color w:val="auto"/>
              </w:rPr>
            </w:pPr>
            <w:r>
              <w:rPr>
                <w:rFonts w:ascii="Arial" w:cs="Arial" w:eastAsia="Arial" w:hAnsi="Arial"/>
                <w:sz w:val="13"/>
                <w:szCs w:val="13"/>
                <w:color w:val="auto"/>
              </w:rPr>
              <w:t>(65,509)</w:t>
            </w:r>
          </w:p>
        </w:tc>
        <w:tc>
          <w:tcPr>
            <w:tcW w:w="280" w:type="dxa"/>
            <w:vAlign w:val="bottom"/>
            <w:gridSpan w:val="2"/>
            <w:shd w:val="clear" w:color="auto" w:fill="CFF0FC"/>
          </w:tcPr>
          <w:p>
            <w:pPr>
              <w:ind w:left="100"/>
              <w:spacing w:after="0" w:line="142" w:lineRule="exact"/>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249,471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20" w:type="dxa"/>
            <w:vAlign w:val="bottom"/>
          </w:tcPr>
          <w:p>
            <w:pPr>
              <w:spacing w:after="0"/>
              <w:rPr>
                <w:sz w:val="20"/>
                <w:szCs w:val="20"/>
                <w:color w:val="auto"/>
              </w:rPr>
            </w:pPr>
            <w:r>
              <w:rPr>
                <w:rFonts w:ascii="Arial" w:cs="Arial" w:eastAsia="Arial" w:hAnsi="Arial"/>
                <w:sz w:val="13"/>
                <w:szCs w:val="13"/>
                <w:color w:val="auto"/>
              </w:rPr>
              <w:t>Conversion of equity units</w:t>
            </w:r>
          </w:p>
        </w:tc>
        <w:tc>
          <w:tcPr>
            <w:tcW w:w="940" w:type="dxa"/>
            <w:vAlign w:val="bottom"/>
          </w:tcPr>
          <w:p>
            <w:pPr>
              <w:jc w:val="right"/>
              <w:spacing w:after="0"/>
              <w:rPr>
                <w:sz w:val="20"/>
                <w:szCs w:val="20"/>
                <w:color w:val="auto"/>
              </w:rPr>
            </w:pPr>
            <w:r>
              <w:rPr>
                <w:rFonts w:ascii="Arial" w:cs="Arial" w:eastAsia="Arial" w:hAnsi="Arial"/>
                <w:sz w:val="13"/>
                <w:szCs w:val="13"/>
                <w:color w:val="auto"/>
              </w:rPr>
              <w:t>297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auto"/>
              </w:rPr>
              <w:t>(30)</w:t>
            </w:r>
          </w:p>
        </w:tc>
        <w:tc>
          <w:tcPr>
            <w:tcW w:w="120" w:type="dxa"/>
            <w:vAlign w:val="bottom"/>
          </w:tcPr>
          <w:p>
            <w:pPr>
              <w:spacing w:after="0"/>
              <w:rPr>
                <w:sz w:val="12"/>
                <w:szCs w:val="1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4120" w:type="dxa"/>
            <w:vAlign w:val="bottom"/>
            <w:shd w:val="clear" w:color="auto" w:fill="CFF0FC"/>
          </w:tcPr>
          <w:p>
            <w:pPr>
              <w:spacing w:after="0"/>
              <w:rPr>
                <w:sz w:val="20"/>
                <w:szCs w:val="20"/>
                <w:color w:val="auto"/>
              </w:rPr>
            </w:pPr>
            <w:r>
              <w:rPr>
                <w:rFonts w:ascii="Arial" w:cs="Arial" w:eastAsia="Arial" w:hAnsi="Arial"/>
                <w:sz w:val="13"/>
                <w:szCs w:val="13"/>
                <w:color w:val="auto"/>
              </w:rPr>
              <w:t>Stock-based compensation</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2,431</w:t>
            </w: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2,431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4120" w:type="dxa"/>
            <w:vAlign w:val="bottom"/>
          </w:tcPr>
          <w:p>
            <w:pPr>
              <w:spacing w:after="0" w:line="136" w:lineRule="exact"/>
              <w:rPr>
                <w:sz w:val="20"/>
                <w:szCs w:val="20"/>
                <w:color w:val="auto"/>
              </w:rPr>
            </w:pPr>
            <w:r>
              <w:rPr>
                <w:rFonts w:ascii="Arial" w:cs="Arial" w:eastAsia="Arial" w:hAnsi="Arial"/>
                <w:sz w:val="13"/>
                <w:szCs w:val="13"/>
                <w:color w:val="auto"/>
              </w:rPr>
              <w:t>Common stock withheld in satisfaction of tax withholding</w:t>
            </w: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120" w:type="dxa"/>
            <w:vAlign w:val="bottom"/>
          </w:tcPr>
          <w:p>
            <w:pPr>
              <w:spacing w:after="0"/>
              <w:rPr>
                <w:sz w:val="20"/>
                <w:szCs w:val="20"/>
                <w:color w:val="auto"/>
              </w:rPr>
            </w:pPr>
            <w:r>
              <w:rPr>
                <w:rFonts w:ascii="Arial" w:cs="Arial" w:eastAsia="Arial" w:hAnsi="Arial"/>
                <w:sz w:val="13"/>
                <w:szCs w:val="13"/>
                <w:color w:val="auto"/>
              </w:rPr>
              <w:t>obligations under net share settle transactions</w:t>
            </w: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(71)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auto"/>
              </w:rPr>
              <w:t>(242)</w:t>
            </w:r>
          </w:p>
        </w:tc>
        <w:tc>
          <w:tcPr>
            <w:tcW w:w="120" w:type="dxa"/>
            <w:vAlign w:val="bottom"/>
          </w:tcPr>
          <w:p>
            <w:pPr>
              <w:spacing w:after="0"/>
              <w:rPr>
                <w:sz w:val="14"/>
                <w:szCs w:val="1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3"/>
                <w:szCs w:val="13"/>
                <w:color w:val="auto"/>
              </w:rPr>
              <w:t>(249)</w:t>
            </w:r>
          </w:p>
        </w:tc>
        <w:tc>
          <w:tcPr>
            <w:tcW w:w="0" w:type="dxa"/>
            <w:vAlign w:val="bottom"/>
          </w:tcPr>
          <w:p>
            <w:pPr>
              <w:spacing w:after="0"/>
              <w:rPr>
                <w:sz w:val="1"/>
                <w:szCs w:val="1"/>
                <w:color w:val="auto"/>
              </w:rPr>
            </w:pPr>
          </w:p>
        </w:tc>
      </w:tr>
      <w:tr>
        <w:trPr>
          <w:trHeight w:val="148"/>
        </w:trPr>
        <w:tc>
          <w:tcPr>
            <w:tcW w:w="4120" w:type="dxa"/>
            <w:vAlign w:val="bottom"/>
            <w:shd w:val="clear" w:color="auto" w:fill="CFF0FC"/>
          </w:tcPr>
          <w:p>
            <w:pPr>
              <w:spacing w:after="0"/>
              <w:rPr>
                <w:sz w:val="20"/>
                <w:szCs w:val="20"/>
                <w:color w:val="auto"/>
              </w:rPr>
            </w:pPr>
            <w:r>
              <w:rPr>
                <w:rFonts w:ascii="Arial" w:cs="Arial" w:eastAsia="Arial" w:hAnsi="Arial"/>
                <w:sz w:val="13"/>
                <w:szCs w:val="13"/>
                <w:color w:val="auto"/>
              </w:rPr>
              <w:t>Other comprehensive income, net of tax</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3,587</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3,587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20" w:type="dxa"/>
            <w:vAlign w:val="bottom"/>
          </w:tcPr>
          <w:p>
            <w:pPr>
              <w:spacing w:after="0"/>
              <w:rPr>
                <w:sz w:val="20"/>
                <w:szCs w:val="20"/>
                <w:color w:val="auto"/>
              </w:rPr>
            </w:pPr>
            <w:r>
              <w:rPr>
                <w:rFonts w:ascii="Arial" w:cs="Arial" w:eastAsia="Arial" w:hAnsi="Arial"/>
                <w:sz w:val="13"/>
                <w:szCs w:val="13"/>
                <w:color w:val="auto"/>
              </w:rPr>
              <w:t>Net loss</w:t>
            </w: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3"/>
                <w:szCs w:val="13"/>
                <w:color w:val="auto"/>
              </w:rPr>
              <w:t>(23,369)</w:t>
            </w:r>
          </w:p>
        </w:tc>
        <w:tc>
          <w:tcPr>
            <w:tcW w:w="100" w:type="dxa"/>
            <w:vAlign w:val="bottom"/>
          </w:tcPr>
          <w:p>
            <w:pPr>
              <w:spacing w:after="0"/>
              <w:rPr>
                <w:sz w:val="12"/>
                <w:szCs w:val="12"/>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3"/>
                <w:szCs w:val="13"/>
                <w:color w:val="auto"/>
              </w:rPr>
              <w:t>(23,369)</w:t>
            </w:r>
          </w:p>
        </w:tc>
        <w:tc>
          <w:tcPr>
            <w:tcW w:w="0" w:type="dxa"/>
            <w:vAlign w:val="bottom"/>
          </w:tcPr>
          <w:p>
            <w:pPr>
              <w:spacing w:after="0"/>
              <w:rPr>
                <w:sz w:val="1"/>
                <w:szCs w:val="1"/>
                <w:color w:val="auto"/>
              </w:rPr>
            </w:pPr>
          </w:p>
        </w:tc>
      </w:tr>
      <w:tr>
        <w:trPr>
          <w:trHeight w:val="182"/>
        </w:trPr>
        <w:tc>
          <w:tcPr>
            <w:tcW w:w="4120" w:type="dxa"/>
            <w:vAlign w:val="bottom"/>
            <w:tcBorders>
              <w:bottom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rPr>
              <w:t>Balance at March 29, 2026</w:t>
            </w:r>
          </w:p>
        </w:tc>
        <w:tc>
          <w:tcPr>
            <w:tcW w:w="9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18,587</w:t>
            </w:r>
          </w:p>
        </w:tc>
        <w:tc>
          <w:tcPr>
            <w:tcW w:w="1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1,859</w:t>
            </w:r>
          </w:p>
        </w:tc>
        <w:tc>
          <w:tcPr>
            <w:tcW w:w="2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spacing w:after="0" w:line="129" w:lineRule="exact"/>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76,254</w:t>
            </w:r>
          </w:p>
        </w:tc>
        <w:tc>
          <w:tcPr>
            <w:tcW w:w="2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215,680</w:t>
            </w:r>
          </w:p>
        </w:tc>
        <w:tc>
          <w:tcPr>
            <w:tcW w:w="2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(61,922)</w:t>
            </w:r>
          </w:p>
        </w:tc>
        <w:tc>
          <w:tcPr>
            <w:tcW w:w="1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spacing w:after="0" w:line="129" w:lineRule="exact"/>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231,871</w:t>
            </w:r>
          </w:p>
        </w:tc>
        <w:tc>
          <w:tcPr>
            <w:tcW w:w="1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317"/>
        </w:trPr>
        <w:tc>
          <w:tcPr>
            <w:tcW w:w="4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vMerge w:val="restart"/>
          </w:tcPr>
          <w:p>
            <w:pPr>
              <w:jc w:val="center"/>
              <w:ind w:right="400"/>
              <w:spacing w:after="0"/>
              <w:rPr>
                <w:sz w:val="20"/>
                <w:szCs w:val="20"/>
                <w:color w:val="auto"/>
              </w:rPr>
            </w:pPr>
            <w:r>
              <w:rPr>
                <w:rFonts w:ascii="Arial" w:cs="Arial" w:eastAsia="Arial" w:hAnsi="Arial"/>
                <w:sz w:val="13"/>
                <w:szCs w:val="13"/>
                <w:b w:val="1"/>
                <w:bCs w:val="1"/>
                <w:color w:val="auto"/>
              </w:rPr>
              <w:t>Capital in</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vMerge w:val="restart"/>
          </w:tcPr>
          <w:p>
            <w:pPr>
              <w:jc w:val="center"/>
              <w:ind w:right="3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jc w:val="center"/>
              <w:ind w:right="420"/>
              <w:spacing w:after="0"/>
              <w:rPr>
                <w:sz w:val="20"/>
                <w:szCs w:val="20"/>
                <w:color w:val="auto"/>
              </w:rPr>
            </w:pPr>
            <w:r>
              <w:rPr>
                <w:rFonts w:ascii="Arial" w:cs="Arial" w:eastAsia="Arial" w:hAnsi="Arial"/>
                <w:sz w:val="13"/>
                <w:szCs w:val="13"/>
                <w:b w:val="1"/>
                <w:bCs w:val="1"/>
                <w:color w:val="auto"/>
              </w:rPr>
              <w:t>Common</w:t>
            </w: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Retained</w:t>
            </w:r>
          </w:p>
        </w:tc>
        <w:tc>
          <w:tcPr>
            <w:tcW w:w="100" w:type="dxa"/>
            <w:vAlign w:val="bottom"/>
          </w:tcPr>
          <w:p>
            <w:pPr>
              <w:spacing w:after="0"/>
              <w:rPr>
                <w:sz w:val="12"/>
                <w:szCs w:val="12"/>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rPr>
              <w:t>Other</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940" w:type="dxa"/>
            <w:vAlign w:val="bottom"/>
            <w:vMerge w:val="restart"/>
          </w:tcPr>
          <w:p>
            <w:pPr>
              <w:jc w:val="right"/>
              <w:ind w:right="193"/>
              <w:spacing w:after="0"/>
              <w:rPr>
                <w:sz w:val="20"/>
                <w:szCs w:val="20"/>
                <w:color w:val="auto"/>
              </w:rPr>
            </w:pPr>
            <w:r>
              <w:rPr>
                <w:rFonts w:ascii="Arial" w:cs="Arial" w:eastAsia="Arial" w:hAnsi="Arial"/>
                <w:sz w:val="13"/>
                <w:szCs w:val="13"/>
                <w:b w:val="1"/>
                <w:bCs w:val="1"/>
                <w:color w:val="auto"/>
              </w:rPr>
              <w:t>Shares</w:t>
            </w:r>
          </w:p>
        </w:tc>
        <w:tc>
          <w:tcPr>
            <w:tcW w:w="14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160" w:type="dxa"/>
            <w:vAlign w:val="bottom"/>
            <w:gridSpan w:val="3"/>
          </w:tcPr>
          <w:p>
            <w:pPr>
              <w:spacing w:after="0"/>
              <w:rPr>
                <w:sz w:val="20"/>
                <w:szCs w:val="20"/>
                <w:color w:val="auto"/>
              </w:rPr>
            </w:pPr>
            <w:r>
              <w:rPr>
                <w:rFonts w:ascii="Arial" w:cs="Arial" w:eastAsia="Arial" w:hAnsi="Arial"/>
                <w:sz w:val="13"/>
                <w:szCs w:val="13"/>
                <w:b w:val="1"/>
                <w:bCs w:val="1"/>
                <w:color w:val="auto"/>
              </w:rPr>
              <w:t>Excess of Par</w:t>
            </w: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6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rPr>
              <w:t>Comprehensive</w:t>
            </w:r>
          </w:p>
        </w:tc>
        <w:tc>
          <w:tcPr>
            <w:tcW w:w="100" w:type="dxa"/>
            <w:vAlign w:val="bottom"/>
          </w:tcPr>
          <w:p>
            <w:pPr>
              <w:spacing w:after="0"/>
              <w:rPr>
                <w:sz w:val="12"/>
                <w:szCs w:val="12"/>
                <w:color w:val="auto"/>
              </w:rPr>
            </w:pPr>
          </w:p>
        </w:tc>
        <w:tc>
          <w:tcPr>
            <w:tcW w:w="1100" w:type="dxa"/>
            <w:vAlign w:val="bottom"/>
            <w:gridSpan w:val="3"/>
          </w:tcPr>
          <w:p>
            <w:pPr>
              <w:ind w:left="20"/>
              <w:spacing w:after="0"/>
              <w:rPr>
                <w:sz w:val="20"/>
                <w:szCs w:val="20"/>
                <w:color w:val="auto"/>
              </w:rPr>
            </w:pPr>
            <w:r>
              <w:rPr>
                <w:rFonts w:ascii="Arial" w:cs="Arial" w:eastAsia="Arial" w:hAnsi="Arial"/>
                <w:sz w:val="13"/>
                <w:szCs w:val="13"/>
                <w:b w:val="1"/>
                <w:bCs w:val="1"/>
                <w:color w:val="auto"/>
              </w:rPr>
              <w:t>Shareholders’</w:t>
            </w:r>
          </w:p>
        </w:tc>
        <w:tc>
          <w:tcPr>
            <w:tcW w:w="0" w:type="dxa"/>
            <w:vAlign w:val="bottom"/>
          </w:tcPr>
          <w:p>
            <w:pPr>
              <w:spacing w:after="0"/>
              <w:rPr>
                <w:sz w:val="1"/>
                <w:szCs w:val="1"/>
                <w:color w:val="auto"/>
              </w:rPr>
            </w:pPr>
          </w:p>
        </w:tc>
      </w:tr>
      <w:tr>
        <w:trPr>
          <w:trHeight w:val="163"/>
        </w:trPr>
        <w:tc>
          <w:tcPr>
            <w:tcW w:w="4120" w:type="dxa"/>
            <w:vAlign w:val="bottom"/>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53"/>
              <w:spacing w:after="0"/>
              <w:rPr>
                <w:sz w:val="20"/>
                <w:szCs w:val="20"/>
                <w:color w:val="auto"/>
              </w:rPr>
            </w:pPr>
            <w:r>
              <w:rPr>
                <w:rFonts w:ascii="Arial" w:cs="Arial" w:eastAsia="Arial" w:hAnsi="Arial"/>
                <w:sz w:val="13"/>
                <w:szCs w:val="13"/>
                <w:b w:val="1"/>
                <w:bCs w:val="1"/>
                <w:color w:val="auto"/>
              </w:rPr>
              <w:t>Stock</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53"/>
              <w:spacing w:after="0"/>
              <w:rPr>
                <w:sz w:val="20"/>
                <w:szCs w:val="20"/>
                <w:color w:val="auto"/>
              </w:rPr>
            </w:pPr>
            <w:r>
              <w:rPr>
                <w:rFonts w:ascii="Arial" w:cs="Arial" w:eastAsia="Arial" w:hAnsi="Arial"/>
                <w:sz w:val="13"/>
                <w:szCs w:val="13"/>
                <w:b w:val="1"/>
                <w:bCs w:val="1"/>
                <w:color w:val="auto"/>
              </w:rPr>
              <w:t>Value</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Earnings</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3"/>
              <w:spacing w:after="0"/>
              <w:rPr>
                <w:sz w:val="20"/>
                <w:szCs w:val="20"/>
                <w:color w:val="auto"/>
              </w:rPr>
            </w:pPr>
            <w:r>
              <w:rPr>
                <w:rFonts w:ascii="Arial" w:cs="Arial" w:eastAsia="Arial" w:hAnsi="Arial"/>
                <w:sz w:val="13"/>
                <w:szCs w:val="13"/>
                <w:b w:val="1"/>
                <w:bCs w:val="1"/>
                <w:color w:val="auto"/>
                <w:w w:val="98"/>
              </w:rPr>
              <w:t>Loss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13"/>
              <w:spacing w:after="0"/>
              <w:rPr>
                <w:sz w:val="20"/>
                <w:szCs w:val="20"/>
                <w:color w:val="auto"/>
              </w:rPr>
            </w:pPr>
            <w:r>
              <w:rPr>
                <w:rFonts w:ascii="Arial" w:cs="Arial" w:eastAsia="Arial" w:hAnsi="Arial"/>
                <w:sz w:val="13"/>
                <w:szCs w:val="13"/>
                <w:b w:val="1"/>
                <w:bCs w:val="1"/>
                <w:color w:val="auto"/>
              </w:rPr>
              <w:t>Equity</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2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Balance at December 29, 2024</w:t>
            </w:r>
          </w:p>
        </w:tc>
        <w:tc>
          <w:tcPr>
            <w:tcW w:w="9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18,345</w:t>
            </w:r>
          </w:p>
        </w:tc>
        <w:tc>
          <w:tcPr>
            <w:tcW w:w="14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1,835</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72,490</w:t>
            </w: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7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240,373</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1160" w:type="dxa"/>
            <w:vAlign w:val="bottom"/>
            <w:gridSpan w:val="2"/>
            <w:shd w:val="clear" w:color="auto" w:fill="CFF0FC"/>
          </w:tcPr>
          <w:p>
            <w:pPr>
              <w:jc w:val="right"/>
              <w:ind w:right="100"/>
              <w:spacing w:after="0" w:line="142" w:lineRule="exact"/>
              <w:rPr>
                <w:sz w:val="20"/>
                <w:szCs w:val="20"/>
                <w:color w:val="auto"/>
              </w:rPr>
            </w:pPr>
            <w:r>
              <w:rPr>
                <w:rFonts w:ascii="Arial" w:cs="Arial" w:eastAsia="Arial" w:hAnsi="Arial"/>
                <w:sz w:val="13"/>
                <w:szCs w:val="13"/>
                <w:color w:val="auto"/>
              </w:rPr>
              <w:t>(77,507)</w:t>
            </w:r>
          </w:p>
        </w:tc>
        <w:tc>
          <w:tcPr>
            <w:tcW w:w="280" w:type="dxa"/>
            <w:vAlign w:val="bottom"/>
            <w:gridSpan w:val="2"/>
            <w:shd w:val="clear" w:color="auto" w:fill="CFF0FC"/>
          </w:tcPr>
          <w:p>
            <w:pPr>
              <w:ind w:left="100"/>
              <w:spacing w:after="0" w:line="142" w:lineRule="exact"/>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237,191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20"/>
                <w:szCs w:val="20"/>
                <w:color w:val="auto"/>
              </w:rPr>
            </w:pPr>
            <w:r>
              <w:rPr>
                <w:rFonts w:ascii="Arial" w:cs="Arial" w:eastAsia="Arial" w:hAnsi="Arial"/>
                <w:sz w:val="13"/>
                <w:szCs w:val="13"/>
                <w:color w:val="auto"/>
              </w:rPr>
              <w:t>Options exercised</w:t>
            </w:r>
          </w:p>
        </w:tc>
        <w:tc>
          <w:tcPr>
            <w:tcW w:w="940" w:type="dxa"/>
            <w:vAlign w:val="bottom"/>
          </w:tcPr>
          <w:p>
            <w:pPr>
              <w:jc w:val="right"/>
              <w:spacing w:after="0"/>
              <w:rPr>
                <w:sz w:val="20"/>
                <w:szCs w:val="20"/>
                <w:color w:val="auto"/>
              </w:rPr>
            </w:pPr>
            <w:r>
              <w:rPr>
                <w:rFonts w:ascii="Arial" w:cs="Arial" w:eastAsia="Arial" w:hAnsi="Arial"/>
                <w:sz w:val="13"/>
                <w:szCs w:val="13"/>
                <w:color w:val="auto"/>
              </w:rPr>
              <w:t>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31</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20" w:type="dxa"/>
            <w:vAlign w:val="bottom"/>
            <w:shd w:val="clear" w:color="auto" w:fill="CFF0FC"/>
          </w:tcPr>
          <w:p>
            <w:pPr>
              <w:spacing w:after="0"/>
              <w:rPr>
                <w:sz w:val="20"/>
                <w:szCs w:val="20"/>
                <w:color w:val="auto"/>
              </w:rPr>
            </w:pPr>
            <w:r>
              <w:rPr>
                <w:rFonts w:ascii="Arial" w:cs="Arial" w:eastAsia="Arial" w:hAnsi="Arial"/>
                <w:sz w:val="13"/>
                <w:szCs w:val="13"/>
                <w:color w:val="auto"/>
              </w:rPr>
              <w:t>Conversion of equity units</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(2)</w:t>
            </w:r>
          </w:p>
        </w:tc>
        <w:tc>
          <w:tcPr>
            <w:tcW w:w="1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4120" w:type="dxa"/>
            <w:vAlign w:val="bottom"/>
          </w:tcPr>
          <w:p>
            <w:pPr>
              <w:spacing w:after="0"/>
              <w:rPr>
                <w:sz w:val="20"/>
                <w:szCs w:val="20"/>
                <w:color w:val="auto"/>
              </w:rPr>
            </w:pPr>
            <w:r>
              <w:rPr>
                <w:rFonts w:ascii="Arial" w:cs="Arial" w:eastAsia="Arial" w:hAnsi="Arial"/>
                <w:sz w:val="13"/>
                <w:szCs w:val="13"/>
                <w:color w:val="auto"/>
              </w:rPr>
              <w:t>Stock-based compensation</w:t>
            </w: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784</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784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4120" w:type="dxa"/>
            <w:vAlign w:val="bottom"/>
            <w:shd w:val="clear" w:color="auto" w:fill="CFF0FC"/>
          </w:tcPr>
          <w:p>
            <w:pPr>
              <w:spacing w:after="0" w:line="136" w:lineRule="exact"/>
              <w:rPr>
                <w:sz w:val="20"/>
                <w:szCs w:val="20"/>
                <w:color w:val="auto"/>
              </w:rPr>
            </w:pPr>
            <w:r>
              <w:rPr>
                <w:rFonts w:ascii="Arial" w:cs="Arial" w:eastAsia="Arial" w:hAnsi="Arial"/>
                <w:sz w:val="13"/>
                <w:szCs w:val="13"/>
                <w:color w:val="auto"/>
              </w:rPr>
              <w:t>Common stock withheld in satisfaction of tax withholding</w:t>
            </w:r>
          </w:p>
        </w:tc>
        <w:tc>
          <w:tcPr>
            <w:tcW w:w="9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120" w:type="dxa"/>
            <w:vAlign w:val="bottom"/>
            <w:shd w:val="clear" w:color="auto" w:fill="CFF0FC"/>
          </w:tcPr>
          <w:p>
            <w:pPr>
              <w:spacing w:after="0"/>
              <w:rPr>
                <w:sz w:val="20"/>
                <w:szCs w:val="20"/>
                <w:color w:val="auto"/>
              </w:rPr>
            </w:pPr>
            <w:r>
              <w:rPr>
                <w:rFonts w:ascii="Arial" w:cs="Arial" w:eastAsia="Arial" w:hAnsi="Arial"/>
                <w:sz w:val="13"/>
                <w:szCs w:val="13"/>
                <w:color w:val="auto"/>
              </w:rPr>
              <w:t>obligations under net share settle transactions</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(3)</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(1)</w:t>
            </w:r>
          </w:p>
        </w:tc>
        <w:tc>
          <w:tcPr>
            <w:tcW w:w="10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(19)</w:t>
            </w:r>
          </w:p>
        </w:tc>
        <w:tc>
          <w:tcPr>
            <w:tcW w:w="12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48"/>
        </w:trPr>
        <w:tc>
          <w:tcPr>
            <w:tcW w:w="4120" w:type="dxa"/>
            <w:vAlign w:val="bottom"/>
          </w:tcPr>
          <w:p>
            <w:pPr>
              <w:spacing w:after="0"/>
              <w:rPr>
                <w:sz w:val="20"/>
                <w:szCs w:val="20"/>
                <w:color w:val="auto"/>
              </w:rPr>
            </w:pPr>
            <w:r>
              <w:rPr>
                <w:rFonts w:ascii="Arial" w:cs="Arial" w:eastAsia="Arial" w:hAnsi="Arial"/>
                <w:sz w:val="13"/>
                <w:szCs w:val="13"/>
                <w:color w:val="auto"/>
              </w:rPr>
              <w:t>Other comprehensive income, net of tax</w:t>
            </w: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7,194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7,194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shd w:val="clear" w:color="auto" w:fill="CFF0FC"/>
          </w:tcPr>
          <w:p>
            <w:pPr>
              <w:spacing w:after="0"/>
              <w:rPr>
                <w:sz w:val="20"/>
                <w:szCs w:val="20"/>
                <w:color w:val="auto"/>
              </w:rPr>
            </w:pPr>
            <w:r>
              <w:rPr>
                <w:rFonts w:ascii="Arial" w:cs="Arial" w:eastAsia="Arial" w:hAnsi="Arial"/>
                <w:sz w:val="13"/>
                <w:szCs w:val="13"/>
                <w:color w:val="auto"/>
              </w:rPr>
              <w:t>Net loss</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(16,794)</w:t>
            </w:r>
          </w:p>
        </w:tc>
        <w:tc>
          <w:tcPr>
            <w:tcW w:w="1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(16,794)</w:t>
            </w:r>
          </w:p>
        </w:tc>
        <w:tc>
          <w:tcPr>
            <w:tcW w:w="0" w:type="dxa"/>
            <w:vAlign w:val="bottom"/>
          </w:tcPr>
          <w:p>
            <w:pPr>
              <w:spacing w:after="0"/>
              <w:rPr>
                <w:sz w:val="1"/>
                <w:szCs w:val="1"/>
                <w:color w:val="auto"/>
              </w:rPr>
            </w:pPr>
          </w:p>
        </w:tc>
      </w:tr>
      <w:tr>
        <w:trPr>
          <w:trHeight w:val="142"/>
        </w:trPr>
        <w:tc>
          <w:tcPr>
            <w:tcW w:w="4120" w:type="dxa"/>
            <w:vAlign w:val="bottom"/>
            <w:tcBorders>
              <w:top w:val="single" w:sz="8" w:color="CFF0FC"/>
              <w:bottom w:val="single" w:sz="8" w:color="CFF0FC"/>
            </w:tcBorders>
          </w:tcPr>
          <w:p>
            <w:pPr>
              <w:spacing w:after="0" w:line="142" w:lineRule="exact"/>
              <w:rPr>
                <w:sz w:val="20"/>
                <w:szCs w:val="20"/>
                <w:color w:val="auto"/>
              </w:rPr>
            </w:pPr>
            <w:r>
              <w:rPr>
                <w:rFonts w:ascii="Arial" w:cs="Arial" w:eastAsia="Arial" w:hAnsi="Arial"/>
                <w:sz w:val="13"/>
                <w:szCs w:val="13"/>
                <w:color w:val="auto"/>
              </w:rPr>
              <w:t>Balance at March 30, 2025</w:t>
            </w:r>
          </w:p>
        </w:tc>
        <w:tc>
          <w:tcPr>
            <w:tcW w:w="9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18,360</w:t>
            </w:r>
          </w:p>
        </w:tc>
        <w:tc>
          <w:tcPr>
            <w:tcW w:w="140" w:type="dxa"/>
            <w:vAlign w:val="bottom"/>
            <w:tcBorders>
              <w:top w:val="single" w:sz="8" w:color="CFF0FC"/>
            </w:tcBorders>
          </w:tcPr>
          <w:p>
            <w:pPr>
              <w:spacing w:after="0"/>
              <w:rPr>
                <w:sz w:val="12"/>
                <w:szCs w:val="12"/>
                <w:color w:val="auto"/>
              </w:rPr>
            </w:pPr>
          </w:p>
        </w:tc>
        <w:tc>
          <w:tcPr>
            <w:tcW w:w="120" w:type="dxa"/>
            <w:vAlign w:val="bottom"/>
            <w:tcBorders>
              <w:top w:val="single" w:sz="8" w:color="CFF0FC"/>
              <w:bottom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1,836</w:t>
            </w:r>
          </w:p>
        </w:tc>
        <w:tc>
          <w:tcPr>
            <w:tcW w:w="260" w:type="dxa"/>
            <w:vAlign w:val="bottom"/>
            <w:tcBorders>
              <w:top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73,284</w:t>
            </w:r>
          </w:p>
        </w:tc>
        <w:tc>
          <w:tcPr>
            <w:tcW w:w="260" w:type="dxa"/>
            <w:vAlign w:val="bottom"/>
            <w:tcBorders>
              <w:top w:val="single" w:sz="8" w:color="CFF0FC"/>
            </w:tcBorders>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223,579</w:t>
            </w:r>
          </w:p>
        </w:tc>
        <w:tc>
          <w:tcPr>
            <w:tcW w:w="260" w:type="dxa"/>
            <w:vAlign w:val="bottom"/>
            <w:tcBorders>
              <w:top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(70,313)</w:t>
            </w:r>
          </w:p>
        </w:tc>
        <w:tc>
          <w:tcPr>
            <w:tcW w:w="160" w:type="dxa"/>
            <w:vAlign w:val="bottom"/>
            <w:tcBorders>
              <w:top w:val="single" w:sz="8" w:color="CFF0FC"/>
              <w:bottom w:val="single" w:sz="8" w:color="CFF0FC"/>
            </w:tcBorders>
          </w:tcPr>
          <w:p>
            <w:pPr>
              <w:spacing w:after="0"/>
              <w:rPr>
                <w:sz w:val="12"/>
                <w:szCs w:val="12"/>
                <w:color w:val="auto"/>
              </w:rPr>
            </w:pPr>
          </w:p>
        </w:tc>
        <w:tc>
          <w:tcPr>
            <w:tcW w:w="100" w:type="dxa"/>
            <w:vAlign w:val="bottom"/>
            <w:tcBorders>
              <w:top w:val="single" w:sz="8" w:color="CFF0FC"/>
              <w:bottom w:val="single" w:sz="8" w:color="CFF0FC"/>
            </w:tcBorders>
          </w:tcPr>
          <w:p>
            <w:pPr>
              <w:spacing w:after="0"/>
              <w:rPr>
                <w:sz w:val="12"/>
                <w:szCs w:val="12"/>
                <w:color w:val="auto"/>
              </w:rPr>
            </w:pPr>
          </w:p>
        </w:tc>
        <w:tc>
          <w:tcPr>
            <w:tcW w:w="1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228,386</w:t>
            </w:r>
          </w:p>
        </w:tc>
        <w:tc>
          <w:tcPr>
            <w:tcW w:w="12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4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vMerge w:val="restart"/>
          </w:tcPr>
          <w:p>
            <w:pPr>
              <w:jc w:val="center"/>
              <w:ind w:right="400"/>
              <w:spacing w:after="0"/>
              <w:rPr>
                <w:sz w:val="20"/>
                <w:szCs w:val="20"/>
                <w:color w:val="auto"/>
              </w:rPr>
            </w:pPr>
            <w:r>
              <w:rPr>
                <w:rFonts w:ascii="Arial" w:cs="Arial" w:eastAsia="Arial" w:hAnsi="Arial"/>
                <w:sz w:val="13"/>
                <w:szCs w:val="13"/>
                <w:b w:val="1"/>
                <w:bCs w:val="1"/>
                <w:color w:val="auto"/>
              </w:rPr>
              <w:t>Capital in</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vMerge w:val="restart"/>
          </w:tcPr>
          <w:p>
            <w:pPr>
              <w:jc w:val="center"/>
              <w:ind w:right="3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jc w:val="center"/>
              <w:ind w:right="420"/>
              <w:spacing w:after="0"/>
              <w:rPr>
                <w:sz w:val="20"/>
                <w:szCs w:val="20"/>
                <w:color w:val="auto"/>
              </w:rPr>
            </w:pPr>
            <w:r>
              <w:rPr>
                <w:rFonts w:ascii="Arial" w:cs="Arial" w:eastAsia="Arial" w:hAnsi="Arial"/>
                <w:sz w:val="13"/>
                <w:szCs w:val="13"/>
                <w:b w:val="1"/>
                <w:bCs w:val="1"/>
                <w:color w:val="auto"/>
              </w:rPr>
              <w:t>Common</w:t>
            </w: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Retained</w:t>
            </w:r>
          </w:p>
        </w:tc>
        <w:tc>
          <w:tcPr>
            <w:tcW w:w="100" w:type="dxa"/>
            <w:vAlign w:val="bottom"/>
          </w:tcPr>
          <w:p>
            <w:pPr>
              <w:spacing w:after="0"/>
              <w:rPr>
                <w:sz w:val="12"/>
                <w:szCs w:val="12"/>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rPr>
              <w:t>Other</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940" w:type="dxa"/>
            <w:vAlign w:val="bottom"/>
            <w:vMerge w:val="restart"/>
          </w:tcPr>
          <w:p>
            <w:pPr>
              <w:jc w:val="right"/>
              <w:ind w:right="193"/>
              <w:spacing w:after="0"/>
              <w:rPr>
                <w:sz w:val="20"/>
                <w:szCs w:val="20"/>
                <w:color w:val="auto"/>
              </w:rPr>
            </w:pPr>
            <w:r>
              <w:rPr>
                <w:rFonts w:ascii="Arial" w:cs="Arial" w:eastAsia="Arial" w:hAnsi="Arial"/>
                <w:sz w:val="13"/>
                <w:szCs w:val="13"/>
                <w:b w:val="1"/>
                <w:bCs w:val="1"/>
                <w:color w:val="auto"/>
              </w:rPr>
              <w:t>Shares</w:t>
            </w:r>
          </w:p>
        </w:tc>
        <w:tc>
          <w:tcPr>
            <w:tcW w:w="14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160" w:type="dxa"/>
            <w:vAlign w:val="bottom"/>
            <w:gridSpan w:val="3"/>
          </w:tcPr>
          <w:p>
            <w:pPr>
              <w:spacing w:after="0"/>
              <w:rPr>
                <w:sz w:val="20"/>
                <w:szCs w:val="20"/>
                <w:color w:val="auto"/>
              </w:rPr>
            </w:pPr>
            <w:r>
              <w:rPr>
                <w:rFonts w:ascii="Arial" w:cs="Arial" w:eastAsia="Arial" w:hAnsi="Arial"/>
                <w:sz w:val="13"/>
                <w:szCs w:val="13"/>
                <w:b w:val="1"/>
                <w:bCs w:val="1"/>
                <w:color w:val="auto"/>
              </w:rPr>
              <w:t>Excess of Par</w:t>
            </w: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6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rPr>
              <w:t>Comprehensive</w:t>
            </w:r>
          </w:p>
        </w:tc>
        <w:tc>
          <w:tcPr>
            <w:tcW w:w="100" w:type="dxa"/>
            <w:vAlign w:val="bottom"/>
          </w:tcPr>
          <w:p>
            <w:pPr>
              <w:spacing w:after="0"/>
              <w:rPr>
                <w:sz w:val="12"/>
                <w:szCs w:val="12"/>
                <w:color w:val="auto"/>
              </w:rPr>
            </w:pPr>
          </w:p>
        </w:tc>
        <w:tc>
          <w:tcPr>
            <w:tcW w:w="1100" w:type="dxa"/>
            <w:vAlign w:val="bottom"/>
            <w:gridSpan w:val="3"/>
          </w:tcPr>
          <w:p>
            <w:pPr>
              <w:ind w:left="20"/>
              <w:spacing w:after="0"/>
              <w:rPr>
                <w:sz w:val="20"/>
                <w:szCs w:val="20"/>
                <w:color w:val="auto"/>
              </w:rPr>
            </w:pPr>
            <w:r>
              <w:rPr>
                <w:rFonts w:ascii="Arial" w:cs="Arial" w:eastAsia="Arial" w:hAnsi="Arial"/>
                <w:sz w:val="13"/>
                <w:szCs w:val="13"/>
                <w:b w:val="1"/>
                <w:bCs w:val="1"/>
                <w:color w:val="auto"/>
              </w:rPr>
              <w:t>Shareholders’</w:t>
            </w:r>
          </w:p>
        </w:tc>
        <w:tc>
          <w:tcPr>
            <w:tcW w:w="0" w:type="dxa"/>
            <w:vAlign w:val="bottom"/>
          </w:tcPr>
          <w:p>
            <w:pPr>
              <w:spacing w:after="0"/>
              <w:rPr>
                <w:sz w:val="1"/>
                <w:szCs w:val="1"/>
                <w:color w:val="auto"/>
              </w:rPr>
            </w:pPr>
          </w:p>
        </w:tc>
      </w:tr>
      <w:tr>
        <w:trPr>
          <w:trHeight w:val="163"/>
        </w:trPr>
        <w:tc>
          <w:tcPr>
            <w:tcW w:w="4120" w:type="dxa"/>
            <w:vAlign w:val="bottom"/>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53"/>
              <w:spacing w:after="0"/>
              <w:rPr>
                <w:sz w:val="20"/>
                <w:szCs w:val="20"/>
                <w:color w:val="auto"/>
              </w:rPr>
            </w:pPr>
            <w:r>
              <w:rPr>
                <w:rFonts w:ascii="Arial" w:cs="Arial" w:eastAsia="Arial" w:hAnsi="Arial"/>
                <w:sz w:val="13"/>
                <w:szCs w:val="13"/>
                <w:b w:val="1"/>
                <w:bCs w:val="1"/>
                <w:color w:val="auto"/>
              </w:rPr>
              <w:t>Stock</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53"/>
              <w:spacing w:after="0"/>
              <w:rPr>
                <w:sz w:val="20"/>
                <w:szCs w:val="20"/>
                <w:color w:val="auto"/>
              </w:rPr>
            </w:pPr>
            <w:r>
              <w:rPr>
                <w:rFonts w:ascii="Arial" w:cs="Arial" w:eastAsia="Arial" w:hAnsi="Arial"/>
                <w:sz w:val="13"/>
                <w:szCs w:val="13"/>
                <w:b w:val="1"/>
                <w:bCs w:val="1"/>
                <w:color w:val="auto"/>
              </w:rPr>
              <w:t>Value</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Earnings</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3"/>
              <w:spacing w:after="0"/>
              <w:rPr>
                <w:sz w:val="20"/>
                <w:szCs w:val="20"/>
                <w:color w:val="auto"/>
              </w:rPr>
            </w:pPr>
            <w:r>
              <w:rPr>
                <w:rFonts w:ascii="Arial" w:cs="Arial" w:eastAsia="Arial" w:hAnsi="Arial"/>
                <w:sz w:val="13"/>
                <w:szCs w:val="13"/>
                <w:b w:val="1"/>
                <w:bCs w:val="1"/>
                <w:color w:val="auto"/>
                <w:w w:val="98"/>
              </w:rPr>
              <w:t>Loss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13"/>
              <w:spacing w:after="0"/>
              <w:rPr>
                <w:sz w:val="20"/>
                <w:szCs w:val="20"/>
                <w:color w:val="auto"/>
              </w:rPr>
            </w:pPr>
            <w:r>
              <w:rPr>
                <w:rFonts w:ascii="Arial" w:cs="Arial" w:eastAsia="Arial" w:hAnsi="Arial"/>
                <w:sz w:val="13"/>
                <w:szCs w:val="13"/>
                <w:b w:val="1"/>
                <w:bCs w:val="1"/>
                <w:color w:val="auto"/>
              </w:rPr>
              <w:t>Equity</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2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Balance at June 30, 2024</w:t>
            </w:r>
          </w:p>
        </w:tc>
        <w:tc>
          <w:tcPr>
            <w:tcW w:w="9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18,252</w:t>
            </w:r>
          </w:p>
        </w:tc>
        <w:tc>
          <w:tcPr>
            <w:tcW w:w="14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1,825</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70,952</w:t>
            </w: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7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259,397</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1160" w:type="dxa"/>
            <w:vAlign w:val="bottom"/>
            <w:gridSpan w:val="2"/>
            <w:shd w:val="clear" w:color="auto" w:fill="CFF0FC"/>
          </w:tcPr>
          <w:p>
            <w:pPr>
              <w:jc w:val="right"/>
              <w:ind w:right="100"/>
              <w:spacing w:after="0" w:line="142" w:lineRule="exact"/>
              <w:rPr>
                <w:sz w:val="20"/>
                <w:szCs w:val="20"/>
                <w:color w:val="auto"/>
              </w:rPr>
            </w:pPr>
            <w:r>
              <w:rPr>
                <w:rFonts w:ascii="Arial" w:cs="Arial" w:eastAsia="Arial" w:hAnsi="Arial"/>
                <w:sz w:val="13"/>
                <w:szCs w:val="13"/>
                <w:color w:val="auto"/>
              </w:rPr>
              <w:t>(68,789)</w:t>
            </w:r>
          </w:p>
        </w:tc>
        <w:tc>
          <w:tcPr>
            <w:tcW w:w="280" w:type="dxa"/>
            <w:vAlign w:val="bottom"/>
            <w:gridSpan w:val="2"/>
            <w:shd w:val="clear" w:color="auto" w:fill="CFF0FC"/>
          </w:tcPr>
          <w:p>
            <w:pPr>
              <w:ind w:left="100"/>
              <w:spacing w:after="0" w:line="142" w:lineRule="exact"/>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263,385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20" w:type="dxa"/>
            <w:vAlign w:val="bottom"/>
          </w:tcPr>
          <w:p>
            <w:pPr>
              <w:spacing w:after="0"/>
              <w:rPr>
                <w:sz w:val="20"/>
                <w:szCs w:val="20"/>
                <w:color w:val="auto"/>
              </w:rPr>
            </w:pPr>
            <w:r>
              <w:rPr>
                <w:rFonts w:ascii="Arial" w:cs="Arial" w:eastAsia="Arial" w:hAnsi="Arial"/>
                <w:sz w:val="13"/>
                <w:szCs w:val="13"/>
                <w:color w:val="auto"/>
              </w:rPr>
              <w:t>Options exercised</w:t>
            </w:r>
          </w:p>
        </w:tc>
        <w:tc>
          <w:tcPr>
            <w:tcW w:w="940" w:type="dxa"/>
            <w:vAlign w:val="bottom"/>
          </w:tcPr>
          <w:p>
            <w:pPr>
              <w:jc w:val="right"/>
              <w:spacing w:after="0"/>
              <w:rPr>
                <w:sz w:val="20"/>
                <w:szCs w:val="20"/>
                <w:color w:val="auto"/>
              </w:rPr>
            </w:pPr>
            <w:r>
              <w:rPr>
                <w:rFonts w:ascii="Arial" w:cs="Arial" w:eastAsia="Arial" w:hAnsi="Arial"/>
                <w:sz w:val="13"/>
                <w:szCs w:val="13"/>
                <w:color w:val="auto"/>
              </w:rPr>
              <w:t>12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66</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shd w:val="clear" w:color="auto" w:fill="CFF0FC"/>
          </w:tcPr>
          <w:p>
            <w:pPr>
              <w:spacing w:after="0"/>
              <w:rPr>
                <w:sz w:val="20"/>
                <w:szCs w:val="20"/>
                <w:color w:val="auto"/>
              </w:rPr>
            </w:pPr>
            <w:r>
              <w:rPr>
                <w:rFonts w:ascii="Arial" w:cs="Arial" w:eastAsia="Arial" w:hAnsi="Arial"/>
                <w:sz w:val="13"/>
                <w:szCs w:val="13"/>
                <w:color w:val="auto"/>
              </w:rPr>
              <w:t>Conversion of equity units</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124</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(13)</w:t>
            </w:r>
          </w:p>
        </w:tc>
        <w:tc>
          <w:tcPr>
            <w:tcW w:w="1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4120" w:type="dxa"/>
            <w:vAlign w:val="bottom"/>
          </w:tcPr>
          <w:p>
            <w:pPr>
              <w:spacing w:after="0"/>
              <w:rPr>
                <w:sz w:val="20"/>
                <w:szCs w:val="20"/>
                <w:color w:val="auto"/>
              </w:rPr>
            </w:pPr>
            <w:r>
              <w:rPr>
                <w:rFonts w:ascii="Arial" w:cs="Arial" w:eastAsia="Arial" w:hAnsi="Arial"/>
                <w:sz w:val="13"/>
                <w:szCs w:val="13"/>
                <w:color w:val="auto"/>
              </w:rPr>
              <w:t>Stock-based compensation</w:t>
            </w: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2,442</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2,442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4120" w:type="dxa"/>
            <w:vAlign w:val="bottom"/>
            <w:shd w:val="clear" w:color="auto" w:fill="CFF0FC"/>
          </w:tcPr>
          <w:p>
            <w:pPr>
              <w:spacing w:after="0" w:line="136" w:lineRule="exact"/>
              <w:rPr>
                <w:sz w:val="20"/>
                <w:szCs w:val="20"/>
                <w:color w:val="auto"/>
              </w:rPr>
            </w:pPr>
            <w:r>
              <w:rPr>
                <w:rFonts w:ascii="Arial" w:cs="Arial" w:eastAsia="Arial" w:hAnsi="Arial"/>
                <w:sz w:val="13"/>
                <w:szCs w:val="13"/>
                <w:color w:val="auto"/>
              </w:rPr>
              <w:t>Common stock withheld in satisfaction of tax withholding</w:t>
            </w:r>
          </w:p>
        </w:tc>
        <w:tc>
          <w:tcPr>
            <w:tcW w:w="9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120" w:type="dxa"/>
            <w:vAlign w:val="bottom"/>
            <w:shd w:val="clear" w:color="auto" w:fill="CFF0FC"/>
          </w:tcPr>
          <w:p>
            <w:pPr>
              <w:spacing w:after="0"/>
              <w:rPr>
                <w:sz w:val="20"/>
                <w:szCs w:val="20"/>
                <w:color w:val="auto"/>
              </w:rPr>
            </w:pPr>
            <w:r>
              <w:rPr>
                <w:rFonts w:ascii="Arial" w:cs="Arial" w:eastAsia="Arial" w:hAnsi="Arial"/>
                <w:sz w:val="13"/>
                <w:szCs w:val="13"/>
                <w:color w:val="auto"/>
              </w:rPr>
              <w:t>obligations under net share settle transactions</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(28)</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(3)</w:t>
            </w:r>
          </w:p>
        </w:tc>
        <w:tc>
          <w:tcPr>
            <w:tcW w:w="10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(163)</w:t>
            </w:r>
          </w:p>
        </w:tc>
        <w:tc>
          <w:tcPr>
            <w:tcW w:w="12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(166)</w:t>
            </w:r>
          </w:p>
        </w:tc>
        <w:tc>
          <w:tcPr>
            <w:tcW w:w="0" w:type="dxa"/>
            <w:vAlign w:val="bottom"/>
          </w:tcPr>
          <w:p>
            <w:pPr>
              <w:spacing w:after="0"/>
              <w:rPr>
                <w:sz w:val="1"/>
                <w:szCs w:val="1"/>
                <w:color w:val="auto"/>
              </w:rPr>
            </w:pPr>
          </w:p>
        </w:tc>
      </w:tr>
      <w:tr>
        <w:trPr>
          <w:trHeight w:val="148"/>
        </w:trPr>
        <w:tc>
          <w:tcPr>
            <w:tcW w:w="4120" w:type="dxa"/>
            <w:vAlign w:val="bottom"/>
          </w:tcPr>
          <w:p>
            <w:pPr>
              <w:spacing w:after="0"/>
              <w:rPr>
                <w:sz w:val="20"/>
                <w:szCs w:val="20"/>
                <w:color w:val="auto"/>
              </w:rPr>
            </w:pPr>
            <w:r>
              <w:rPr>
                <w:rFonts w:ascii="Arial" w:cs="Arial" w:eastAsia="Arial" w:hAnsi="Arial"/>
                <w:sz w:val="13"/>
                <w:szCs w:val="13"/>
                <w:color w:val="auto"/>
              </w:rPr>
              <w:t>Other comprehensive loss, net of tax</w:t>
            </w: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3"/>
                <w:szCs w:val="13"/>
                <w:color w:val="auto"/>
              </w:rPr>
              <w:t>(1,524)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3"/>
                <w:szCs w:val="13"/>
                <w:color w:val="auto"/>
              </w:rPr>
              <w:t>(1,524)</w:t>
            </w:r>
          </w:p>
        </w:tc>
        <w:tc>
          <w:tcPr>
            <w:tcW w:w="0" w:type="dxa"/>
            <w:vAlign w:val="bottom"/>
          </w:tcPr>
          <w:p>
            <w:pPr>
              <w:spacing w:after="0"/>
              <w:rPr>
                <w:sz w:val="1"/>
                <w:szCs w:val="1"/>
                <w:color w:val="auto"/>
              </w:rPr>
            </w:pPr>
          </w:p>
        </w:tc>
      </w:tr>
      <w:tr>
        <w:trPr>
          <w:trHeight w:val="149"/>
        </w:trPr>
        <w:tc>
          <w:tcPr>
            <w:tcW w:w="4120" w:type="dxa"/>
            <w:vAlign w:val="bottom"/>
            <w:shd w:val="clear" w:color="auto" w:fill="CFF0FC"/>
          </w:tcPr>
          <w:p>
            <w:pPr>
              <w:spacing w:after="0"/>
              <w:rPr>
                <w:sz w:val="20"/>
                <w:szCs w:val="20"/>
                <w:color w:val="auto"/>
              </w:rPr>
            </w:pPr>
            <w:r>
              <w:rPr>
                <w:rFonts w:ascii="Arial" w:cs="Arial" w:eastAsia="Arial" w:hAnsi="Arial"/>
                <w:sz w:val="13"/>
                <w:szCs w:val="13"/>
                <w:color w:val="auto"/>
              </w:rPr>
              <w:t>Net loss</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(35,818)</w:t>
            </w:r>
          </w:p>
        </w:tc>
        <w:tc>
          <w:tcPr>
            <w:tcW w:w="1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(35,818)</w:t>
            </w:r>
          </w:p>
        </w:tc>
        <w:tc>
          <w:tcPr>
            <w:tcW w:w="0" w:type="dxa"/>
            <w:vAlign w:val="bottom"/>
          </w:tcPr>
          <w:p>
            <w:pPr>
              <w:spacing w:after="0"/>
              <w:rPr>
                <w:sz w:val="1"/>
                <w:szCs w:val="1"/>
                <w:color w:val="auto"/>
              </w:rPr>
            </w:pPr>
          </w:p>
        </w:tc>
      </w:tr>
      <w:tr>
        <w:trPr>
          <w:trHeight w:val="142"/>
        </w:trPr>
        <w:tc>
          <w:tcPr>
            <w:tcW w:w="4120" w:type="dxa"/>
            <w:vAlign w:val="bottom"/>
            <w:tcBorders>
              <w:top w:val="single" w:sz="8" w:color="CFF0FC"/>
              <w:bottom w:val="single" w:sz="8" w:color="CFF0FC"/>
            </w:tcBorders>
          </w:tcPr>
          <w:p>
            <w:pPr>
              <w:spacing w:after="0" w:line="142" w:lineRule="exact"/>
              <w:rPr>
                <w:sz w:val="20"/>
                <w:szCs w:val="20"/>
                <w:color w:val="auto"/>
              </w:rPr>
            </w:pPr>
            <w:r>
              <w:rPr>
                <w:rFonts w:ascii="Arial" w:cs="Arial" w:eastAsia="Arial" w:hAnsi="Arial"/>
                <w:sz w:val="13"/>
                <w:szCs w:val="13"/>
                <w:color w:val="auto"/>
              </w:rPr>
              <w:t>Balance at March 30, 2025</w:t>
            </w:r>
          </w:p>
        </w:tc>
        <w:tc>
          <w:tcPr>
            <w:tcW w:w="9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18,360</w:t>
            </w:r>
          </w:p>
        </w:tc>
        <w:tc>
          <w:tcPr>
            <w:tcW w:w="140" w:type="dxa"/>
            <w:vAlign w:val="bottom"/>
            <w:tcBorders>
              <w:top w:val="single" w:sz="8" w:color="CFF0FC"/>
            </w:tcBorders>
          </w:tcPr>
          <w:p>
            <w:pPr>
              <w:spacing w:after="0"/>
              <w:rPr>
                <w:sz w:val="12"/>
                <w:szCs w:val="12"/>
                <w:color w:val="auto"/>
              </w:rPr>
            </w:pPr>
          </w:p>
        </w:tc>
        <w:tc>
          <w:tcPr>
            <w:tcW w:w="120" w:type="dxa"/>
            <w:vAlign w:val="bottom"/>
            <w:tcBorders>
              <w:top w:val="single" w:sz="8" w:color="CFF0FC"/>
              <w:bottom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1,836</w:t>
            </w:r>
          </w:p>
        </w:tc>
        <w:tc>
          <w:tcPr>
            <w:tcW w:w="260" w:type="dxa"/>
            <w:vAlign w:val="bottom"/>
            <w:tcBorders>
              <w:top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73,284</w:t>
            </w:r>
          </w:p>
        </w:tc>
        <w:tc>
          <w:tcPr>
            <w:tcW w:w="260" w:type="dxa"/>
            <w:vAlign w:val="bottom"/>
            <w:tcBorders>
              <w:top w:val="single" w:sz="8" w:color="CFF0FC"/>
            </w:tcBorders>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223,579</w:t>
            </w:r>
          </w:p>
        </w:tc>
        <w:tc>
          <w:tcPr>
            <w:tcW w:w="260" w:type="dxa"/>
            <w:vAlign w:val="bottom"/>
            <w:tcBorders>
              <w:top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(70,313)</w:t>
            </w:r>
          </w:p>
        </w:tc>
        <w:tc>
          <w:tcPr>
            <w:tcW w:w="160" w:type="dxa"/>
            <w:vAlign w:val="bottom"/>
            <w:tcBorders>
              <w:top w:val="single" w:sz="8" w:color="CFF0FC"/>
              <w:bottom w:val="single" w:sz="8" w:color="CFF0FC"/>
            </w:tcBorders>
          </w:tcPr>
          <w:p>
            <w:pPr>
              <w:spacing w:after="0"/>
              <w:rPr>
                <w:sz w:val="12"/>
                <w:szCs w:val="12"/>
                <w:color w:val="auto"/>
              </w:rPr>
            </w:pPr>
          </w:p>
        </w:tc>
        <w:tc>
          <w:tcPr>
            <w:tcW w:w="100" w:type="dxa"/>
            <w:vAlign w:val="bottom"/>
            <w:tcBorders>
              <w:top w:val="single" w:sz="8" w:color="CFF0FC"/>
              <w:bottom w:val="single" w:sz="8" w:color="CFF0FC"/>
            </w:tcBorders>
          </w:tcPr>
          <w:p>
            <w:pPr>
              <w:spacing w:after="0"/>
              <w:rPr>
                <w:sz w:val="12"/>
                <w:szCs w:val="12"/>
                <w:color w:val="auto"/>
              </w:rPr>
            </w:pPr>
          </w:p>
        </w:tc>
        <w:tc>
          <w:tcPr>
            <w:tcW w:w="1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228,386</w:t>
            </w:r>
          </w:p>
        </w:tc>
        <w:tc>
          <w:tcPr>
            <w:tcW w:w="12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-4131310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-4114165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-4131310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-4114165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-4131310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-4114165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-4131310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-4114165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-4131310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-4114165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-4131310</wp:posOffset>
            </wp:positionV>
            <wp:extent cx="77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-4114165</wp:posOffset>
            </wp:positionV>
            <wp:extent cx="774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-2820035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-2802255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-2820035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-2802255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-2820035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-2802255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-2820035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-2802255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-2820035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-2802255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-2820035</wp:posOffset>
            </wp:positionV>
            <wp:extent cx="774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-2802255</wp:posOffset>
            </wp:positionV>
            <wp:extent cx="774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-1525270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-1525270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-1525270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-1525270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-1525270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-1525270</wp:posOffset>
            </wp:positionV>
            <wp:extent cx="774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-128270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-128270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-128270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-128270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-128270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-128270</wp:posOffset>
            </wp:positionV>
            <wp:extent cx="774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t>CONDENSED CONSOLIDATED STATEMENTS OF CASH FLOWS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700" w:type="dxa"/>
            <w:vAlign w:val="bottom"/>
            <w:gridSpan w:val="5"/>
          </w:tcPr>
          <w:p>
            <w:pPr>
              <w:jc w:val="right"/>
              <w:ind w:right="1100"/>
              <w:spacing w:after="0"/>
              <w:rPr>
                <w:sz w:val="20"/>
                <w:szCs w:val="20"/>
                <w:color w:val="auto"/>
              </w:rPr>
            </w:pPr>
            <w:r>
              <w:rPr>
                <w:rFonts w:ascii="Arial" w:cs="Arial" w:eastAsia="Arial" w:hAnsi="Arial"/>
                <w:sz w:val="14"/>
                <w:szCs w:val="14"/>
                <w:b w:val="1"/>
                <w:bCs w:val="1"/>
                <w:color w:val="auto"/>
              </w:rPr>
              <w:t>For the Nine Months Ended</w:t>
            </w:r>
          </w:p>
        </w:tc>
      </w:tr>
      <w:tr>
        <w:trPr>
          <w:trHeight w:val="156"/>
        </w:trPr>
        <w:tc>
          <w:tcPr>
            <w:tcW w:w="73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800" w:type="dxa"/>
            <w:vAlign w:val="bottom"/>
            <w:tcBorders>
              <w:top w:val="single" w:sz="8" w:color="auto"/>
            </w:tcBorders>
            <w:gridSpan w:val="2"/>
          </w:tcPr>
          <w:p>
            <w:pPr>
              <w:jc w:val="right"/>
              <w:ind w:right="640"/>
              <w:spacing w:after="0" w:line="155" w:lineRule="exact"/>
              <w:rPr>
                <w:sz w:val="20"/>
                <w:szCs w:val="20"/>
                <w:color w:val="auto"/>
              </w:rPr>
            </w:pPr>
            <w:r>
              <w:rPr>
                <w:rFonts w:ascii="Arial" w:cs="Arial" w:eastAsia="Arial" w:hAnsi="Arial"/>
                <w:sz w:val="14"/>
                <w:szCs w:val="14"/>
                <w:b w:val="1"/>
                <w:bCs w:val="1"/>
                <w:color w:val="auto"/>
              </w:rPr>
              <w:t>March 29, 2026</w:t>
            </w:r>
          </w:p>
        </w:tc>
        <w:tc>
          <w:tcPr>
            <w:tcW w:w="24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March 30, 2025</w:t>
            </w:r>
          </w:p>
        </w:tc>
        <w:tc>
          <w:tcPr>
            <w:tcW w:w="120" w:type="dxa"/>
            <w:vAlign w:val="bottom"/>
          </w:tcPr>
          <w:p>
            <w:pPr>
              <w:spacing w:after="0"/>
              <w:rPr>
                <w:sz w:val="13"/>
                <w:szCs w:val="13"/>
                <w:color w:val="auto"/>
              </w:rPr>
            </w:pPr>
          </w:p>
        </w:tc>
      </w:tr>
      <w:tr>
        <w:trPr>
          <w:trHeight w:val="155"/>
        </w:trPr>
        <w:tc>
          <w:tcPr>
            <w:tcW w:w="73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Cash and cash equivalents at beginning of period</w:t>
            </w:r>
          </w:p>
        </w:tc>
        <w:tc>
          <w:tcPr>
            <w:tcW w:w="220" w:type="dxa"/>
            <w:vAlign w:val="bottom"/>
            <w:tcBorders>
              <w:top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5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22,664</w:t>
            </w:r>
          </w:p>
        </w:tc>
        <w:tc>
          <w:tcPr>
            <w:tcW w:w="280" w:type="dxa"/>
            <w:vAlign w:val="bottom"/>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15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26,805</w:t>
            </w:r>
          </w:p>
        </w:tc>
        <w:tc>
          <w:tcPr>
            <w:tcW w:w="120" w:type="dxa"/>
            <w:vAlign w:val="bottom"/>
            <w:shd w:val="clear" w:color="auto" w:fill="CFF0FC"/>
          </w:tcPr>
          <w:p>
            <w:pPr>
              <w:spacing w:after="0"/>
              <w:rPr>
                <w:sz w:val="13"/>
                <w:szCs w:val="13"/>
                <w:color w:val="auto"/>
              </w:rPr>
            </w:pPr>
          </w:p>
        </w:tc>
      </w:tr>
      <w:tr>
        <w:trPr>
          <w:trHeight w:val="162"/>
        </w:trPr>
        <w:tc>
          <w:tcPr>
            <w:tcW w:w="7320" w:type="dxa"/>
            <w:vAlign w:val="bottom"/>
          </w:tcPr>
          <w:p>
            <w:pPr>
              <w:spacing w:after="0"/>
              <w:rPr>
                <w:sz w:val="20"/>
                <w:szCs w:val="20"/>
                <w:color w:val="auto"/>
              </w:rPr>
            </w:pPr>
            <w:r>
              <w:rPr>
                <w:rFonts w:ascii="Arial" w:cs="Arial" w:eastAsia="Arial" w:hAnsi="Arial"/>
                <w:sz w:val="14"/>
                <w:szCs w:val="14"/>
                <w:i w:val="1"/>
                <w:iCs w:val="1"/>
                <w:color w:val="auto"/>
              </w:rPr>
              <w:t>Operating activities:</w:t>
            </w:r>
          </w:p>
        </w:tc>
        <w:tc>
          <w:tcPr>
            <w:tcW w:w="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320" w:type="dxa"/>
            <w:vAlign w:val="bottom"/>
            <w:shd w:val="clear" w:color="auto" w:fill="CFF0FC"/>
          </w:tcPr>
          <w:p>
            <w:pPr>
              <w:spacing w:after="0"/>
              <w:rPr>
                <w:sz w:val="20"/>
                <w:szCs w:val="20"/>
                <w:color w:val="auto"/>
              </w:rPr>
            </w:pPr>
            <w:r>
              <w:rPr>
                <w:rFonts w:ascii="Arial" w:cs="Arial" w:eastAsia="Arial" w:hAnsi="Arial"/>
                <w:sz w:val="14"/>
                <w:szCs w:val="14"/>
                <w:color w:val="auto"/>
              </w:rPr>
              <w:t>Net loss</w:t>
            </w:r>
          </w:p>
        </w:tc>
        <w:tc>
          <w:tcPr>
            <w:tcW w:w="220" w:type="dxa"/>
            <w:vAlign w:val="bottom"/>
            <w:shd w:val="clear" w:color="auto" w:fill="CFF0FC"/>
          </w:tcPr>
          <w:p>
            <w:pPr>
              <w:spacing w:after="0"/>
              <w:rPr>
                <w:sz w:val="14"/>
                <w:szCs w:val="14"/>
                <w:color w:val="auto"/>
              </w:rPr>
            </w:pPr>
          </w:p>
        </w:tc>
        <w:tc>
          <w:tcPr>
            <w:tcW w:w="18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(23,369)</w:t>
            </w:r>
          </w:p>
        </w:tc>
        <w:tc>
          <w:tcPr>
            <w:tcW w:w="240" w:type="dxa"/>
            <w:vAlign w:val="bottom"/>
            <w:shd w:val="clear" w:color="auto" w:fill="CFF0FC"/>
          </w:tcPr>
          <w:p>
            <w:pPr>
              <w:spacing w:after="0"/>
              <w:rPr>
                <w:sz w:val="14"/>
                <w:szCs w:val="14"/>
                <w:color w:val="auto"/>
              </w:rPr>
            </w:pPr>
          </w:p>
        </w:tc>
        <w:tc>
          <w:tcPr>
            <w:tcW w:w="16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(35,818)</w:t>
            </w:r>
          </w:p>
        </w:tc>
      </w:tr>
      <w:tr>
        <w:trPr>
          <w:trHeight w:val="162"/>
        </w:trPr>
        <w:tc>
          <w:tcPr>
            <w:tcW w:w="7320" w:type="dxa"/>
            <w:vAlign w:val="bottom"/>
          </w:tcPr>
          <w:p>
            <w:pPr>
              <w:spacing w:after="0"/>
              <w:rPr>
                <w:sz w:val="20"/>
                <w:szCs w:val="20"/>
                <w:color w:val="auto"/>
              </w:rPr>
            </w:pPr>
            <w:r>
              <w:rPr>
                <w:rFonts w:ascii="Arial" w:cs="Arial" w:eastAsia="Arial" w:hAnsi="Arial"/>
                <w:sz w:val="14"/>
                <w:szCs w:val="14"/>
                <w:color w:val="auto"/>
              </w:rPr>
              <w:t>Adjustments to reconcile net loss to net cash provided (used) by operating activities:</w:t>
            </w:r>
          </w:p>
        </w:tc>
        <w:tc>
          <w:tcPr>
            <w:tcW w:w="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320" w:type="dxa"/>
            <w:vAlign w:val="bottom"/>
            <w:shd w:val="clear" w:color="auto" w:fill="CFF0FC"/>
          </w:tcPr>
          <w:p>
            <w:pPr>
              <w:spacing w:after="0"/>
              <w:rPr>
                <w:sz w:val="20"/>
                <w:szCs w:val="20"/>
                <w:color w:val="auto"/>
              </w:rPr>
            </w:pPr>
            <w:r>
              <w:rPr>
                <w:rFonts w:ascii="Arial" w:cs="Arial" w:eastAsia="Arial" w:hAnsi="Arial"/>
                <w:sz w:val="14"/>
                <w:szCs w:val="14"/>
                <w:color w:val="auto"/>
              </w:rPr>
              <w:t>Equity in loss of unconsolidated affiliate</w:t>
            </w:r>
          </w:p>
        </w:tc>
        <w:tc>
          <w:tcPr>
            <w:tcW w:w="220" w:type="dxa"/>
            <w:vAlign w:val="bottom"/>
            <w:shd w:val="clear" w:color="auto" w:fill="CFF0FC"/>
          </w:tcPr>
          <w:p>
            <w:pPr>
              <w:spacing w:after="0"/>
              <w:rPr>
                <w:sz w:val="14"/>
                <w:szCs w:val="14"/>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289</w:t>
            </w: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467</w:t>
            </w:r>
          </w:p>
        </w:tc>
        <w:tc>
          <w:tcPr>
            <w:tcW w:w="120" w:type="dxa"/>
            <w:vAlign w:val="bottom"/>
            <w:shd w:val="clear" w:color="auto" w:fill="CFF0FC"/>
          </w:tcPr>
          <w:p>
            <w:pPr>
              <w:spacing w:after="0"/>
              <w:rPr>
                <w:sz w:val="14"/>
                <w:szCs w:val="14"/>
                <w:color w:val="auto"/>
              </w:rPr>
            </w:pPr>
          </w:p>
        </w:tc>
      </w:tr>
      <w:tr>
        <w:trPr>
          <w:trHeight w:val="162"/>
        </w:trPr>
        <w:tc>
          <w:tcPr>
            <w:tcW w:w="7320" w:type="dxa"/>
            <w:vAlign w:val="bottom"/>
          </w:tcPr>
          <w:p>
            <w:pPr>
              <w:spacing w:after="0"/>
              <w:rPr>
                <w:sz w:val="20"/>
                <w:szCs w:val="20"/>
                <w:color w:val="auto"/>
              </w:rPr>
            </w:pPr>
            <w:r>
              <w:rPr>
                <w:rFonts w:ascii="Arial" w:cs="Arial" w:eastAsia="Arial" w:hAnsi="Arial"/>
                <w:sz w:val="14"/>
                <w:szCs w:val="14"/>
                <w:color w:val="auto"/>
              </w:rPr>
              <w:t>Depreciation and amortization expense</w:t>
            </w:r>
          </w:p>
        </w:tc>
        <w:tc>
          <w:tcPr>
            <w:tcW w:w="2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18,100</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19,200</w:t>
            </w:r>
          </w:p>
        </w:tc>
        <w:tc>
          <w:tcPr>
            <w:tcW w:w="120" w:type="dxa"/>
            <w:vAlign w:val="bottom"/>
          </w:tcPr>
          <w:p>
            <w:pPr>
              <w:spacing w:after="0"/>
              <w:rPr>
                <w:sz w:val="14"/>
                <w:szCs w:val="14"/>
                <w:color w:val="auto"/>
              </w:rPr>
            </w:pPr>
          </w:p>
        </w:tc>
      </w:tr>
      <w:tr>
        <w:trPr>
          <w:trHeight w:val="162"/>
        </w:trPr>
        <w:tc>
          <w:tcPr>
            <w:tcW w:w="7320" w:type="dxa"/>
            <w:vAlign w:val="bottom"/>
            <w:shd w:val="clear" w:color="auto" w:fill="CFF0FC"/>
          </w:tcPr>
          <w:p>
            <w:pPr>
              <w:spacing w:after="0"/>
              <w:rPr>
                <w:sz w:val="20"/>
                <w:szCs w:val="20"/>
                <w:color w:val="auto"/>
              </w:rPr>
            </w:pPr>
            <w:r>
              <w:rPr>
                <w:rFonts w:ascii="Arial" w:cs="Arial" w:eastAsia="Arial" w:hAnsi="Arial"/>
                <w:sz w:val="14"/>
                <w:szCs w:val="14"/>
                <w:color w:val="auto"/>
              </w:rPr>
              <w:t>Non-cash compensation expense</w:t>
            </w:r>
          </w:p>
        </w:tc>
        <w:tc>
          <w:tcPr>
            <w:tcW w:w="220" w:type="dxa"/>
            <w:vAlign w:val="bottom"/>
            <w:shd w:val="clear" w:color="auto" w:fill="CFF0FC"/>
          </w:tcPr>
          <w:p>
            <w:pPr>
              <w:spacing w:after="0"/>
              <w:rPr>
                <w:sz w:val="14"/>
                <w:szCs w:val="14"/>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2,431</w:t>
            </w: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2,442</w:t>
            </w:r>
          </w:p>
        </w:tc>
        <w:tc>
          <w:tcPr>
            <w:tcW w:w="120" w:type="dxa"/>
            <w:vAlign w:val="bottom"/>
            <w:shd w:val="clear" w:color="auto" w:fill="CFF0FC"/>
          </w:tcPr>
          <w:p>
            <w:pPr>
              <w:spacing w:after="0"/>
              <w:rPr>
                <w:sz w:val="14"/>
                <w:szCs w:val="14"/>
                <w:color w:val="auto"/>
              </w:rPr>
            </w:pPr>
          </w:p>
        </w:tc>
      </w:tr>
      <w:tr>
        <w:trPr>
          <w:trHeight w:val="162"/>
        </w:trPr>
        <w:tc>
          <w:tcPr>
            <w:tcW w:w="7320" w:type="dxa"/>
            <w:vAlign w:val="bottom"/>
          </w:tcPr>
          <w:p>
            <w:pPr>
              <w:spacing w:after="0"/>
              <w:rPr>
                <w:sz w:val="20"/>
                <w:szCs w:val="20"/>
                <w:color w:val="auto"/>
              </w:rPr>
            </w:pPr>
            <w:r>
              <w:rPr>
                <w:rFonts w:ascii="Arial" w:cs="Arial" w:eastAsia="Arial" w:hAnsi="Arial"/>
                <w:sz w:val="14"/>
                <w:szCs w:val="14"/>
                <w:color w:val="auto"/>
              </w:rPr>
              <w:t>Gain on foreign currency transaction, net</w:t>
            </w:r>
          </w:p>
        </w:tc>
        <w:tc>
          <w:tcPr>
            <w:tcW w:w="220" w:type="dxa"/>
            <w:vAlign w:val="bottom"/>
          </w:tcPr>
          <w:p>
            <w:pPr>
              <w:spacing w:after="0"/>
              <w:rPr>
                <w:sz w:val="14"/>
                <w:szCs w:val="14"/>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4"/>
                <w:szCs w:val="14"/>
                <w:color w:val="auto"/>
              </w:rPr>
              <w:t>(1,775)</w:t>
            </w:r>
          </w:p>
        </w:tc>
        <w:tc>
          <w:tcPr>
            <w:tcW w:w="240" w:type="dxa"/>
            <w:vAlign w:val="bottom"/>
          </w:tcPr>
          <w:p>
            <w:pPr>
              <w:spacing w:after="0"/>
              <w:rPr>
                <w:sz w:val="14"/>
                <w:szCs w:val="14"/>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7320" w:type="dxa"/>
            <w:vAlign w:val="bottom"/>
            <w:shd w:val="clear" w:color="auto" w:fill="CFF0FC"/>
          </w:tcPr>
          <w:p>
            <w:pPr>
              <w:spacing w:after="0"/>
              <w:rPr>
                <w:sz w:val="20"/>
                <w:szCs w:val="20"/>
                <w:color w:val="auto"/>
              </w:rPr>
            </w:pPr>
            <w:r>
              <w:rPr>
                <w:rFonts w:ascii="Arial" w:cs="Arial" w:eastAsia="Arial" w:hAnsi="Arial"/>
                <w:sz w:val="14"/>
                <w:szCs w:val="14"/>
                <w:color w:val="auto"/>
              </w:rPr>
              <w:t>Gain on sale of assets</w:t>
            </w:r>
          </w:p>
        </w:tc>
        <w:tc>
          <w:tcPr>
            <w:tcW w:w="220" w:type="dxa"/>
            <w:vAlign w:val="bottom"/>
            <w:shd w:val="clear" w:color="auto" w:fill="CFF0FC"/>
          </w:tcPr>
          <w:p>
            <w:pPr>
              <w:spacing w:after="0"/>
              <w:rPr>
                <w:sz w:val="14"/>
                <w:szCs w:val="14"/>
                <w:color w:val="auto"/>
              </w:rPr>
            </w:pPr>
          </w:p>
        </w:tc>
        <w:tc>
          <w:tcPr>
            <w:tcW w:w="18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(308)</w:t>
            </w:r>
          </w:p>
        </w:tc>
        <w:tc>
          <w:tcPr>
            <w:tcW w:w="240" w:type="dxa"/>
            <w:vAlign w:val="bottom"/>
            <w:shd w:val="clear" w:color="auto" w:fill="CFF0FC"/>
          </w:tcPr>
          <w:p>
            <w:pPr>
              <w:spacing w:after="0"/>
              <w:rPr>
                <w:sz w:val="14"/>
                <w:szCs w:val="14"/>
                <w:color w:val="auto"/>
              </w:rPr>
            </w:pPr>
          </w:p>
        </w:tc>
        <w:tc>
          <w:tcPr>
            <w:tcW w:w="16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(4,296)</w:t>
            </w:r>
          </w:p>
        </w:tc>
      </w:tr>
      <w:tr>
        <w:trPr>
          <w:trHeight w:val="162"/>
        </w:trPr>
        <w:tc>
          <w:tcPr>
            <w:tcW w:w="7320" w:type="dxa"/>
            <w:vAlign w:val="bottom"/>
          </w:tcPr>
          <w:p>
            <w:pPr>
              <w:spacing w:after="0"/>
              <w:rPr>
                <w:sz w:val="20"/>
                <w:szCs w:val="20"/>
                <w:color w:val="auto"/>
              </w:rPr>
            </w:pPr>
            <w:r>
              <w:rPr>
                <w:rFonts w:ascii="Arial" w:cs="Arial" w:eastAsia="Arial" w:hAnsi="Arial"/>
                <w:sz w:val="14"/>
                <w:szCs w:val="14"/>
                <w:color w:val="auto"/>
              </w:rPr>
              <w:t>Deferred income taxes</w:t>
            </w:r>
          </w:p>
        </w:tc>
        <w:tc>
          <w:tcPr>
            <w:tcW w:w="2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231</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563</w:t>
            </w:r>
          </w:p>
        </w:tc>
        <w:tc>
          <w:tcPr>
            <w:tcW w:w="120" w:type="dxa"/>
            <w:vAlign w:val="bottom"/>
          </w:tcPr>
          <w:p>
            <w:pPr>
              <w:spacing w:after="0"/>
              <w:rPr>
                <w:sz w:val="14"/>
                <w:szCs w:val="14"/>
                <w:color w:val="auto"/>
              </w:rPr>
            </w:pPr>
          </w:p>
        </w:tc>
      </w:tr>
      <w:tr>
        <w:trPr>
          <w:trHeight w:val="162"/>
        </w:trPr>
        <w:tc>
          <w:tcPr>
            <w:tcW w:w="7320" w:type="dxa"/>
            <w:vAlign w:val="bottom"/>
            <w:shd w:val="clear" w:color="auto" w:fill="CFF0FC"/>
          </w:tcPr>
          <w:p>
            <w:pPr>
              <w:spacing w:after="0"/>
              <w:rPr>
                <w:sz w:val="20"/>
                <w:szCs w:val="20"/>
                <w:color w:val="auto"/>
              </w:rPr>
            </w:pPr>
            <w:r>
              <w:rPr>
                <w:rFonts w:ascii="Arial" w:cs="Arial" w:eastAsia="Arial" w:hAnsi="Arial"/>
                <w:sz w:val="14"/>
                <w:szCs w:val="14"/>
                <w:color w:val="auto"/>
              </w:rPr>
              <w:t>Other, net</w:t>
            </w:r>
          </w:p>
        </w:tc>
        <w:tc>
          <w:tcPr>
            <w:tcW w:w="220" w:type="dxa"/>
            <w:vAlign w:val="bottom"/>
            <w:shd w:val="clear" w:color="auto" w:fill="CFF0FC"/>
          </w:tcPr>
          <w:p>
            <w:pPr>
              <w:spacing w:after="0"/>
              <w:rPr>
                <w:sz w:val="14"/>
                <w:szCs w:val="14"/>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198</w:t>
            </w: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1,525</w:t>
            </w:r>
          </w:p>
        </w:tc>
        <w:tc>
          <w:tcPr>
            <w:tcW w:w="120" w:type="dxa"/>
            <w:vAlign w:val="bottom"/>
            <w:shd w:val="clear" w:color="auto" w:fill="CFF0FC"/>
          </w:tcPr>
          <w:p>
            <w:pPr>
              <w:spacing w:after="0"/>
              <w:rPr>
                <w:sz w:val="14"/>
                <w:szCs w:val="14"/>
                <w:color w:val="auto"/>
              </w:rPr>
            </w:pPr>
          </w:p>
        </w:tc>
      </w:tr>
      <w:tr>
        <w:trPr>
          <w:trHeight w:val="162"/>
        </w:trPr>
        <w:tc>
          <w:tcPr>
            <w:tcW w:w="7320" w:type="dxa"/>
            <w:vAlign w:val="bottom"/>
          </w:tcPr>
          <w:p>
            <w:pPr>
              <w:spacing w:after="0"/>
              <w:rPr>
                <w:sz w:val="20"/>
                <w:szCs w:val="20"/>
                <w:color w:val="auto"/>
              </w:rPr>
            </w:pPr>
            <w:r>
              <w:rPr>
                <w:rFonts w:ascii="Arial" w:cs="Arial" w:eastAsia="Arial" w:hAnsi="Arial"/>
                <w:sz w:val="14"/>
                <w:szCs w:val="14"/>
                <w:color w:val="auto"/>
              </w:rPr>
              <w:t>Changes in assets and liabilities:</w:t>
            </w:r>
          </w:p>
        </w:tc>
        <w:tc>
          <w:tcPr>
            <w:tcW w:w="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3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Receivables, net</w:t>
            </w:r>
          </w:p>
        </w:tc>
        <w:tc>
          <w:tcPr>
            <w:tcW w:w="220" w:type="dxa"/>
            <w:vAlign w:val="bottom"/>
            <w:shd w:val="clear" w:color="auto" w:fill="CFF0FC"/>
          </w:tcPr>
          <w:p>
            <w:pPr>
              <w:spacing w:after="0"/>
              <w:rPr>
                <w:sz w:val="14"/>
                <w:szCs w:val="14"/>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3,210</w:t>
            </w: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(1,757)</w:t>
            </w:r>
          </w:p>
        </w:tc>
      </w:tr>
      <w:tr>
        <w:trPr>
          <w:trHeight w:val="162"/>
        </w:trPr>
        <w:tc>
          <w:tcPr>
            <w:tcW w:w="7320" w:type="dxa"/>
            <w:vAlign w:val="bottom"/>
          </w:tcPr>
          <w:p>
            <w:pPr>
              <w:ind w:left="140"/>
              <w:spacing w:after="0"/>
              <w:rPr>
                <w:sz w:val="20"/>
                <w:szCs w:val="20"/>
                <w:color w:val="auto"/>
              </w:rPr>
            </w:pPr>
            <w:r>
              <w:rPr>
                <w:rFonts w:ascii="Arial" w:cs="Arial" w:eastAsia="Arial" w:hAnsi="Arial"/>
                <w:sz w:val="14"/>
                <w:szCs w:val="14"/>
                <w:color w:val="auto"/>
              </w:rPr>
              <w:t>Inventories</w:t>
            </w:r>
          </w:p>
        </w:tc>
        <w:tc>
          <w:tcPr>
            <w:tcW w:w="2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21,185</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2"/>
          </w:tcPr>
          <w:p>
            <w:pPr>
              <w:jc w:val="right"/>
              <w:ind w:right="80"/>
              <w:spacing w:after="0"/>
              <w:rPr>
                <w:sz w:val="20"/>
                <w:szCs w:val="20"/>
                <w:color w:val="auto"/>
              </w:rPr>
            </w:pPr>
            <w:r>
              <w:rPr>
                <w:rFonts w:ascii="Arial" w:cs="Arial" w:eastAsia="Arial" w:hAnsi="Arial"/>
                <w:sz w:val="14"/>
                <w:szCs w:val="14"/>
                <w:color w:val="auto"/>
              </w:rPr>
              <w:t>(753)</w:t>
            </w:r>
          </w:p>
        </w:tc>
      </w:tr>
      <w:tr>
        <w:trPr>
          <w:trHeight w:val="162"/>
        </w:trPr>
        <w:tc>
          <w:tcPr>
            <w:tcW w:w="73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Other current assets</w:t>
            </w:r>
          </w:p>
        </w:tc>
        <w:tc>
          <w:tcPr>
            <w:tcW w:w="220" w:type="dxa"/>
            <w:vAlign w:val="bottom"/>
            <w:shd w:val="clear" w:color="auto" w:fill="CFF0FC"/>
          </w:tcPr>
          <w:p>
            <w:pPr>
              <w:spacing w:after="0"/>
              <w:rPr>
                <w:sz w:val="14"/>
                <w:szCs w:val="14"/>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2,089</w:t>
            </w: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(1,966)</w:t>
            </w:r>
          </w:p>
        </w:tc>
      </w:tr>
      <w:tr>
        <w:trPr>
          <w:trHeight w:val="162"/>
        </w:trPr>
        <w:tc>
          <w:tcPr>
            <w:tcW w:w="7320" w:type="dxa"/>
            <w:vAlign w:val="bottom"/>
          </w:tcPr>
          <w:p>
            <w:pPr>
              <w:ind w:left="140"/>
              <w:spacing w:after="0"/>
              <w:rPr>
                <w:sz w:val="20"/>
                <w:szCs w:val="20"/>
                <w:color w:val="auto"/>
              </w:rPr>
            </w:pPr>
            <w:r>
              <w:rPr>
                <w:rFonts w:ascii="Arial" w:cs="Arial" w:eastAsia="Arial" w:hAnsi="Arial"/>
                <w:sz w:val="14"/>
                <w:szCs w:val="14"/>
                <w:color w:val="auto"/>
              </w:rPr>
              <w:t>Income taxes</w:t>
            </w:r>
          </w:p>
        </w:tc>
        <w:tc>
          <w:tcPr>
            <w:tcW w:w="2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5,409</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2"/>
          </w:tcPr>
          <w:p>
            <w:pPr>
              <w:jc w:val="right"/>
              <w:ind w:right="80"/>
              <w:spacing w:after="0"/>
              <w:rPr>
                <w:sz w:val="20"/>
                <w:szCs w:val="20"/>
                <w:color w:val="auto"/>
              </w:rPr>
            </w:pPr>
            <w:r>
              <w:rPr>
                <w:rFonts w:ascii="Arial" w:cs="Arial" w:eastAsia="Arial" w:hAnsi="Arial"/>
                <w:sz w:val="14"/>
                <w:szCs w:val="14"/>
                <w:color w:val="auto"/>
              </w:rPr>
              <w:t>(7,106)</w:t>
            </w:r>
          </w:p>
        </w:tc>
      </w:tr>
      <w:tr>
        <w:trPr>
          <w:trHeight w:val="162"/>
        </w:trPr>
        <w:tc>
          <w:tcPr>
            <w:tcW w:w="73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Accounts payable and other current liabilities</w:t>
            </w:r>
          </w:p>
        </w:tc>
        <w:tc>
          <w:tcPr>
            <w:tcW w:w="220" w:type="dxa"/>
            <w:vAlign w:val="bottom"/>
            <w:shd w:val="clear" w:color="auto" w:fill="CFF0FC"/>
          </w:tcPr>
          <w:p>
            <w:pPr>
              <w:spacing w:after="0"/>
              <w:rPr>
                <w:sz w:val="14"/>
                <w:szCs w:val="14"/>
                <w:color w:val="auto"/>
              </w:rPr>
            </w:pPr>
          </w:p>
        </w:tc>
        <w:tc>
          <w:tcPr>
            <w:tcW w:w="18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(3,359)</w:t>
            </w:r>
          </w:p>
        </w:tc>
        <w:tc>
          <w:tcPr>
            <w:tcW w:w="24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2,020</w:t>
            </w:r>
          </w:p>
        </w:tc>
        <w:tc>
          <w:tcPr>
            <w:tcW w:w="120" w:type="dxa"/>
            <w:vAlign w:val="bottom"/>
            <w:shd w:val="clear" w:color="auto" w:fill="CFF0FC"/>
          </w:tcPr>
          <w:p>
            <w:pPr>
              <w:spacing w:after="0"/>
              <w:rPr>
                <w:sz w:val="14"/>
                <w:szCs w:val="14"/>
                <w:color w:val="auto"/>
              </w:rPr>
            </w:pPr>
          </w:p>
        </w:tc>
      </w:tr>
      <w:tr>
        <w:trPr>
          <w:trHeight w:val="162"/>
        </w:trPr>
        <w:tc>
          <w:tcPr>
            <w:tcW w:w="7320" w:type="dxa"/>
            <w:vAlign w:val="bottom"/>
          </w:tcPr>
          <w:p>
            <w:pPr>
              <w:ind w:left="140"/>
              <w:spacing w:after="0"/>
              <w:rPr>
                <w:sz w:val="20"/>
                <w:szCs w:val="20"/>
                <w:color w:val="auto"/>
              </w:rPr>
            </w:pPr>
            <w:r>
              <w:rPr>
                <w:rFonts w:ascii="Arial" w:cs="Arial" w:eastAsia="Arial" w:hAnsi="Arial"/>
                <w:sz w:val="14"/>
                <w:szCs w:val="14"/>
                <w:color w:val="auto"/>
              </w:rPr>
              <w:t>Other, net</w:t>
            </w:r>
          </w:p>
        </w:tc>
        <w:tc>
          <w:tcPr>
            <w:tcW w:w="2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5,485</w:t>
            </w:r>
          </w:p>
        </w:tc>
        <w:tc>
          <w:tcPr>
            <w:tcW w:w="120" w:type="dxa"/>
            <w:vAlign w:val="bottom"/>
          </w:tcPr>
          <w:p>
            <w:pPr>
              <w:spacing w:after="0"/>
              <w:rPr>
                <w:sz w:val="14"/>
                <w:szCs w:val="14"/>
                <w:color w:val="auto"/>
              </w:rPr>
            </w:pPr>
          </w:p>
        </w:tc>
      </w:tr>
      <w:tr>
        <w:trPr>
          <w:trHeight w:val="155"/>
        </w:trPr>
        <w:tc>
          <w:tcPr>
            <w:tcW w:w="73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Net cash provided (used) by operating activities</w:t>
            </w:r>
          </w:p>
        </w:tc>
        <w:tc>
          <w:tcPr>
            <w:tcW w:w="220" w:type="dxa"/>
            <w:vAlign w:val="bottom"/>
            <w:shd w:val="clear" w:color="auto" w:fill="CFF0FC"/>
          </w:tcPr>
          <w:p>
            <w:pPr>
              <w:spacing w:after="0"/>
              <w:rPr>
                <w:sz w:val="13"/>
                <w:szCs w:val="13"/>
                <w:color w:val="auto"/>
              </w:rPr>
            </w:pPr>
          </w:p>
        </w:tc>
        <w:tc>
          <w:tcPr>
            <w:tcW w:w="15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24,393</w:t>
            </w: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66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(19,994)</w:t>
            </w:r>
          </w:p>
        </w:tc>
      </w:tr>
      <w:tr>
        <w:trPr>
          <w:trHeight w:val="156"/>
        </w:trPr>
        <w:tc>
          <w:tcPr>
            <w:tcW w:w="7320" w:type="dxa"/>
            <w:vAlign w:val="bottom"/>
            <w:tcBorders>
              <w:top w:val="single" w:sz="8" w:color="CFF0FC"/>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spacing w:after="0"/>
              <w:rPr>
                <w:sz w:val="13"/>
                <w:szCs w:val="13"/>
                <w:color w:val="auto"/>
              </w:rPr>
            </w:pPr>
          </w:p>
        </w:tc>
        <w:tc>
          <w:tcPr>
            <w:tcW w:w="280" w:type="dxa"/>
            <w:vAlign w:val="bottom"/>
            <w:tcBorders>
              <w:top w:val="single" w:sz="8" w:color="CFF0FC"/>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r>
      <w:tr>
        <w:trPr>
          <w:trHeight w:val="162"/>
        </w:trPr>
        <w:tc>
          <w:tcPr>
            <w:tcW w:w="7320" w:type="dxa"/>
            <w:vAlign w:val="bottom"/>
            <w:shd w:val="clear" w:color="auto" w:fill="CFF0FC"/>
          </w:tcPr>
          <w:p>
            <w:pPr>
              <w:spacing w:after="0"/>
              <w:rPr>
                <w:sz w:val="20"/>
                <w:szCs w:val="20"/>
                <w:color w:val="auto"/>
              </w:rPr>
            </w:pPr>
            <w:r>
              <w:rPr>
                <w:rFonts w:ascii="Arial" w:cs="Arial" w:eastAsia="Arial" w:hAnsi="Arial"/>
                <w:sz w:val="14"/>
                <w:szCs w:val="14"/>
                <w:i w:val="1"/>
                <w:iCs w:val="1"/>
                <w:color w:val="auto"/>
              </w:rPr>
              <w:t>Investing activities:</w:t>
            </w:r>
          </w:p>
        </w:tc>
        <w:tc>
          <w:tcPr>
            <w:tcW w:w="22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7320" w:type="dxa"/>
            <w:vAlign w:val="bottom"/>
          </w:tcPr>
          <w:p>
            <w:pPr>
              <w:spacing w:after="0"/>
              <w:rPr>
                <w:sz w:val="20"/>
                <w:szCs w:val="20"/>
                <w:color w:val="auto"/>
              </w:rPr>
            </w:pPr>
            <w:r>
              <w:rPr>
                <w:rFonts w:ascii="Arial" w:cs="Arial" w:eastAsia="Arial" w:hAnsi="Arial"/>
                <w:sz w:val="14"/>
                <w:szCs w:val="14"/>
                <w:color w:val="auto"/>
              </w:rPr>
              <w:t>Capital expenditures</w:t>
            </w:r>
          </w:p>
        </w:tc>
        <w:tc>
          <w:tcPr>
            <w:tcW w:w="220" w:type="dxa"/>
            <w:vAlign w:val="bottom"/>
          </w:tcPr>
          <w:p>
            <w:pPr>
              <w:spacing w:after="0"/>
              <w:rPr>
                <w:sz w:val="14"/>
                <w:szCs w:val="14"/>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4"/>
                <w:szCs w:val="14"/>
                <w:color w:val="auto"/>
              </w:rPr>
              <w:t>(3,872)</w:t>
            </w:r>
          </w:p>
        </w:tc>
        <w:tc>
          <w:tcPr>
            <w:tcW w:w="240" w:type="dxa"/>
            <w:vAlign w:val="bottom"/>
          </w:tcPr>
          <w:p>
            <w:pPr>
              <w:spacing w:after="0"/>
              <w:rPr>
                <w:sz w:val="14"/>
                <w:szCs w:val="14"/>
                <w:color w:val="auto"/>
              </w:rPr>
            </w:pPr>
          </w:p>
        </w:tc>
        <w:tc>
          <w:tcPr>
            <w:tcW w:w="1660" w:type="dxa"/>
            <w:vAlign w:val="bottom"/>
            <w:gridSpan w:val="2"/>
          </w:tcPr>
          <w:p>
            <w:pPr>
              <w:jc w:val="right"/>
              <w:ind w:right="80"/>
              <w:spacing w:after="0"/>
              <w:rPr>
                <w:sz w:val="20"/>
                <w:szCs w:val="20"/>
                <w:color w:val="auto"/>
              </w:rPr>
            </w:pPr>
            <w:r>
              <w:rPr>
                <w:rFonts w:ascii="Arial" w:cs="Arial" w:eastAsia="Arial" w:hAnsi="Arial"/>
                <w:sz w:val="14"/>
                <w:szCs w:val="14"/>
                <w:color w:val="auto"/>
              </w:rPr>
              <w:t>(7,915)</w:t>
            </w:r>
          </w:p>
        </w:tc>
      </w:tr>
      <w:tr>
        <w:trPr>
          <w:trHeight w:val="162"/>
        </w:trPr>
        <w:tc>
          <w:tcPr>
            <w:tcW w:w="7320" w:type="dxa"/>
            <w:vAlign w:val="bottom"/>
            <w:shd w:val="clear" w:color="auto" w:fill="CFF0FC"/>
          </w:tcPr>
          <w:p>
            <w:pPr>
              <w:spacing w:after="0"/>
              <w:rPr>
                <w:sz w:val="20"/>
                <w:szCs w:val="20"/>
                <w:color w:val="auto"/>
              </w:rPr>
            </w:pPr>
            <w:r>
              <w:rPr>
                <w:rFonts w:ascii="Arial" w:cs="Arial" w:eastAsia="Arial" w:hAnsi="Arial"/>
                <w:sz w:val="14"/>
                <w:szCs w:val="14"/>
                <w:color w:val="auto"/>
              </w:rPr>
              <w:t>Proceeds from the sale of assets</w:t>
            </w:r>
          </w:p>
        </w:tc>
        <w:tc>
          <w:tcPr>
            <w:tcW w:w="220" w:type="dxa"/>
            <w:vAlign w:val="bottom"/>
            <w:tcBorders>
              <w:bottom w:val="single" w:sz="8" w:color="auto"/>
            </w:tcBorders>
            <w:shd w:val="clear" w:color="auto" w:fill="CFF0FC"/>
          </w:tcPr>
          <w:p>
            <w:pPr>
              <w:spacing w:after="0"/>
              <w:rPr>
                <w:sz w:val="14"/>
                <w:szCs w:val="14"/>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501</w:t>
            </w:r>
          </w:p>
        </w:tc>
        <w:tc>
          <w:tcPr>
            <w:tcW w:w="280" w:type="dxa"/>
            <w:vAlign w:val="bottom"/>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8,094</w:t>
            </w:r>
          </w:p>
        </w:tc>
        <w:tc>
          <w:tcPr>
            <w:tcW w:w="120" w:type="dxa"/>
            <w:vAlign w:val="bottom"/>
            <w:shd w:val="clear" w:color="auto" w:fill="CFF0FC"/>
          </w:tcPr>
          <w:p>
            <w:pPr>
              <w:spacing w:after="0"/>
              <w:rPr>
                <w:sz w:val="14"/>
                <w:szCs w:val="14"/>
                <w:color w:val="auto"/>
              </w:rPr>
            </w:pPr>
          </w:p>
        </w:tc>
      </w:tr>
      <w:tr>
        <w:trPr>
          <w:trHeight w:val="156"/>
        </w:trPr>
        <w:tc>
          <w:tcPr>
            <w:tcW w:w="7320" w:type="dxa"/>
            <w:vAlign w:val="bottom"/>
          </w:tcPr>
          <w:p>
            <w:pPr>
              <w:spacing w:after="0" w:line="155" w:lineRule="exact"/>
              <w:rPr>
                <w:sz w:val="20"/>
                <w:szCs w:val="20"/>
                <w:color w:val="auto"/>
              </w:rPr>
            </w:pPr>
            <w:r>
              <w:rPr>
                <w:rFonts w:ascii="Arial" w:cs="Arial" w:eastAsia="Arial" w:hAnsi="Arial"/>
                <w:sz w:val="14"/>
                <w:szCs w:val="14"/>
                <w:color w:val="auto"/>
              </w:rPr>
              <w:t>Net cash (used) provided by investing activities</w:t>
            </w:r>
          </w:p>
        </w:tc>
        <w:tc>
          <w:tcPr>
            <w:tcW w:w="2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(3,371)</w:t>
            </w:r>
          </w:p>
        </w:tc>
        <w:tc>
          <w:tcPr>
            <w:tcW w:w="2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179</w:t>
            </w:r>
          </w:p>
        </w:tc>
        <w:tc>
          <w:tcPr>
            <w:tcW w:w="120" w:type="dxa"/>
            <w:vAlign w:val="bottom"/>
          </w:tcPr>
          <w:p>
            <w:pPr>
              <w:spacing w:after="0"/>
              <w:rPr>
                <w:sz w:val="13"/>
                <w:szCs w:val="13"/>
                <w:color w:val="auto"/>
              </w:rPr>
            </w:pPr>
          </w:p>
        </w:tc>
      </w:tr>
      <w:tr>
        <w:trPr>
          <w:trHeight w:val="155"/>
        </w:trPr>
        <w:tc>
          <w:tcPr>
            <w:tcW w:w="73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5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62"/>
        </w:trPr>
        <w:tc>
          <w:tcPr>
            <w:tcW w:w="7320" w:type="dxa"/>
            <w:vAlign w:val="bottom"/>
          </w:tcPr>
          <w:p>
            <w:pPr>
              <w:spacing w:after="0"/>
              <w:rPr>
                <w:sz w:val="20"/>
                <w:szCs w:val="20"/>
                <w:color w:val="auto"/>
              </w:rPr>
            </w:pPr>
            <w:r>
              <w:rPr>
                <w:rFonts w:ascii="Arial" w:cs="Arial" w:eastAsia="Arial" w:hAnsi="Arial"/>
                <w:sz w:val="14"/>
                <w:szCs w:val="14"/>
                <w:i w:val="1"/>
                <w:iCs w:val="1"/>
                <w:color w:val="auto"/>
              </w:rPr>
              <w:t>Financing activities:</w:t>
            </w:r>
          </w:p>
        </w:tc>
        <w:tc>
          <w:tcPr>
            <w:tcW w:w="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320" w:type="dxa"/>
            <w:vAlign w:val="bottom"/>
            <w:shd w:val="clear" w:color="auto" w:fill="CFF0FC"/>
          </w:tcPr>
          <w:p>
            <w:pPr>
              <w:spacing w:after="0"/>
              <w:rPr>
                <w:sz w:val="20"/>
                <w:szCs w:val="20"/>
                <w:color w:val="auto"/>
              </w:rPr>
            </w:pPr>
            <w:r>
              <w:rPr>
                <w:rFonts w:ascii="Arial" w:cs="Arial" w:eastAsia="Arial" w:hAnsi="Arial"/>
                <w:sz w:val="14"/>
                <w:szCs w:val="14"/>
                <w:color w:val="auto"/>
              </w:rPr>
              <w:t>Proceeds from ABL Revolver</w:t>
            </w:r>
          </w:p>
        </w:tc>
        <w:tc>
          <w:tcPr>
            <w:tcW w:w="220" w:type="dxa"/>
            <w:vAlign w:val="bottom"/>
            <w:shd w:val="clear" w:color="auto" w:fill="CFF0FC"/>
          </w:tcPr>
          <w:p>
            <w:pPr>
              <w:spacing w:after="0"/>
              <w:rPr>
                <w:sz w:val="14"/>
                <w:szCs w:val="14"/>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81,500</w:t>
            </w: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167,150</w:t>
            </w:r>
          </w:p>
        </w:tc>
        <w:tc>
          <w:tcPr>
            <w:tcW w:w="120" w:type="dxa"/>
            <w:vAlign w:val="bottom"/>
            <w:shd w:val="clear" w:color="auto" w:fill="CFF0FC"/>
          </w:tcPr>
          <w:p>
            <w:pPr>
              <w:spacing w:after="0"/>
              <w:rPr>
                <w:sz w:val="14"/>
                <w:szCs w:val="14"/>
                <w:color w:val="auto"/>
              </w:rPr>
            </w:pPr>
          </w:p>
        </w:tc>
      </w:tr>
      <w:tr>
        <w:trPr>
          <w:trHeight w:val="162"/>
        </w:trPr>
        <w:tc>
          <w:tcPr>
            <w:tcW w:w="7320" w:type="dxa"/>
            <w:vAlign w:val="bottom"/>
          </w:tcPr>
          <w:p>
            <w:pPr>
              <w:spacing w:after="0"/>
              <w:rPr>
                <w:sz w:val="20"/>
                <w:szCs w:val="20"/>
                <w:color w:val="auto"/>
              </w:rPr>
            </w:pPr>
            <w:r>
              <w:rPr>
                <w:rFonts w:ascii="Arial" w:cs="Arial" w:eastAsia="Arial" w:hAnsi="Arial"/>
                <w:sz w:val="14"/>
                <w:szCs w:val="14"/>
                <w:color w:val="auto"/>
              </w:rPr>
              <w:t>Payments on ABL Revolver</w:t>
            </w:r>
          </w:p>
        </w:tc>
        <w:tc>
          <w:tcPr>
            <w:tcW w:w="220" w:type="dxa"/>
            <w:vAlign w:val="bottom"/>
          </w:tcPr>
          <w:p>
            <w:pPr>
              <w:spacing w:after="0"/>
              <w:rPr>
                <w:sz w:val="14"/>
                <w:szCs w:val="14"/>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4"/>
                <w:szCs w:val="14"/>
                <w:color w:val="auto"/>
              </w:rPr>
              <w:t>(89,300)</w:t>
            </w:r>
          </w:p>
        </w:tc>
        <w:tc>
          <w:tcPr>
            <w:tcW w:w="240" w:type="dxa"/>
            <w:vAlign w:val="bottom"/>
          </w:tcPr>
          <w:p>
            <w:pPr>
              <w:spacing w:after="0"/>
              <w:rPr>
                <w:sz w:val="14"/>
                <w:szCs w:val="14"/>
                <w:color w:val="auto"/>
              </w:rPr>
            </w:pPr>
          </w:p>
        </w:tc>
        <w:tc>
          <w:tcPr>
            <w:tcW w:w="1660" w:type="dxa"/>
            <w:vAlign w:val="bottom"/>
            <w:gridSpan w:val="2"/>
          </w:tcPr>
          <w:p>
            <w:pPr>
              <w:jc w:val="right"/>
              <w:ind w:right="80"/>
              <w:spacing w:after="0"/>
              <w:rPr>
                <w:sz w:val="20"/>
                <w:szCs w:val="20"/>
                <w:color w:val="auto"/>
              </w:rPr>
            </w:pPr>
            <w:r>
              <w:rPr>
                <w:rFonts w:ascii="Arial" w:cs="Arial" w:eastAsia="Arial" w:hAnsi="Arial"/>
                <w:sz w:val="14"/>
                <w:szCs w:val="14"/>
                <w:color w:val="auto"/>
              </w:rPr>
              <w:t>(148,150)</w:t>
            </w:r>
          </w:p>
        </w:tc>
      </w:tr>
      <w:tr>
        <w:trPr>
          <w:trHeight w:val="162"/>
        </w:trPr>
        <w:tc>
          <w:tcPr>
            <w:tcW w:w="7320" w:type="dxa"/>
            <w:vAlign w:val="bottom"/>
            <w:shd w:val="clear" w:color="auto" w:fill="CFF0FC"/>
          </w:tcPr>
          <w:p>
            <w:pPr>
              <w:spacing w:after="0"/>
              <w:rPr>
                <w:sz w:val="20"/>
                <w:szCs w:val="20"/>
                <w:color w:val="auto"/>
              </w:rPr>
            </w:pPr>
            <w:r>
              <w:rPr>
                <w:rFonts w:ascii="Arial" w:cs="Arial" w:eastAsia="Arial" w:hAnsi="Arial"/>
                <w:sz w:val="14"/>
                <w:szCs w:val="14"/>
                <w:color w:val="auto"/>
              </w:rPr>
              <w:t>Payments on ABL Term Loan</w:t>
            </w:r>
          </w:p>
        </w:tc>
        <w:tc>
          <w:tcPr>
            <w:tcW w:w="220" w:type="dxa"/>
            <w:vAlign w:val="bottom"/>
            <w:shd w:val="clear" w:color="auto" w:fill="CFF0FC"/>
          </w:tcPr>
          <w:p>
            <w:pPr>
              <w:spacing w:after="0"/>
              <w:rPr>
                <w:sz w:val="14"/>
                <w:szCs w:val="14"/>
                <w:color w:val="auto"/>
              </w:rPr>
            </w:pPr>
          </w:p>
        </w:tc>
        <w:tc>
          <w:tcPr>
            <w:tcW w:w="18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(6,900)</w:t>
            </w:r>
          </w:p>
        </w:tc>
        <w:tc>
          <w:tcPr>
            <w:tcW w:w="240" w:type="dxa"/>
            <w:vAlign w:val="bottom"/>
            <w:shd w:val="clear" w:color="auto" w:fill="CFF0FC"/>
          </w:tcPr>
          <w:p>
            <w:pPr>
              <w:spacing w:after="0"/>
              <w:rPr>
                <w:sz w:val="14"/>
                <w:szCs w:val="14"/>
                <w:color w:val="auto"/>
              </w:rPr>
            </w:pPr>
          </w:p>
        </w:tc>
        <w:tc>
          <w:tcPr>
            <w:tcW w:w="16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(6,900)</w:t>
            </w:r>
          </w:p>
        </w:tc>
      </w:tr>
      <w:tr>
        <w:trPr>
          <w:trHeight w:val="162"/>
        </w:trPr>
        <w:tc>
          <w:tcPr>
            <w:tcW w:w="7320" w:type="dxa"/>
            <w:vAlign w:val="bottom"/>
          </w:tcPr>
          <w:p>
            <w:pPr>
              <w:spacing w:after="0"/>
              <w:rPr>
                <w:sz w:val="20"/>
                <w:szCs w:val="20"/>
                <w:color w:val="auto"/>
              </w:rPr>
            </w:pPr>
            <w:r>
              <w:rPr>
                <w:rFonts w:ascii="Arial" w:cs="Arial" w:eastAsia="Arial" w:hAnsi="Arial"/>
                <w:sz w:val="14"/>
                <w:szCs w:val="14"/>
                <w:color w:val="auto"/>
              </w:rPr>
              <w:t>Payments on finance lease obligations</w:t>
            </w:r>
          </w:p>
        </w:tc>
        <w:tc>
          <w:tcPr>
            <w:tcW w:w="220" w:type="dxa"/>
            <w:vAlign w:val="bottom"/>
          </w:tcPr>
          <w:p>
            <w:pPr>
              <w:spacing w:after="0"/>
              <w:rPr>
                <w:sz w:val="14"/>
                <w:szCs w:val="14"/>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4"/>
                <w:szCs w:val="14"/>
                <w:color w:val="auto"/>
              </w:rPr>
              <w:t>(2,412)</w:t>
            </w:r>
          </w:p>
        </w:tc>
        <w:tc>
          <w:tcPr>
            <w:tcW w:w="240" w:type="dxa"/>
            <w:vAlign w:val="bottom"/>
          </w:tcPr>
          <w:p>
            <w:pPr>
              <w:spacing w:after="0"/>
              <w:rPr>
                <w:sz w:val="14"/>
                <w:szCs w:val="14"/>
                <w:color w:val="auto"/>
              </w:rPr>
            </w:pPr>
          </w:p>
        </w:tc>
        <w:tc>
          <w:tcPr>
            <w:tcW w:w="1660" w:type="dxa"/>
            <w:vAlign w:val="bottom"/>
            <w:gridSpan w:val="2"/>
          </w:tcPr>
          <w:p>
            <w:pPr>
              <w:jc w:val="right"/>
              <w:ind w:right="80"/>
              <w:spacing w:after="0"/>
              <w:rPr>
                <w:sz w:val="20"/>
                <w:szCs w:val="20"/>
                <w:color w:val="auto"/>
              </w:rPr>
            </w:pPr>
            <w:r>
              <w:rPr>
                <w:rFonts w:ascii="Arial" w:cs="Arial" w:eastAsia="Arial" w:hAnsi="Arial"/>
                <w:sz w:val="14"/>
                <w:szCs w:val="14"/>
                <w:color w:val="auto"/>
              </w:rPr>
              <w:t>(2,397)</w:t>
            </w:r>
          </w:p>
        </w:tc>
      </w:tr>
      <w:tr>
        <w:trPr>
          <w:trHeight w:val="162"/>
        </w:trPr>
        <w:tc>
          <w:tcPr>
            <w:tcW w:w="7320" w:type="dxa"/>
            <w:vAlign w:val="bottom"/>
            <w:shd w:val="clear" w:color="auto" w:fill="CFF0FC"/>
          </w:tcPr>
          <w:p>
            <w:pPr>
              <w:spacing w:after="0"/>
              <w:rPr>
                <w:sz w:val="20"/>
                <w:szCs w:val="20"/>
                <w:color w:val="auto"/>
              </w:rPr>
            </w:pPr>
            <w:r>
              <w:rPr>
                <w:rFonts w:ascii="Arial" w:cs="Arial" w:eastAsia="Arial" w:hAnsi="Arial"/>
                <w:sz w:val="14"/>
                <w:szCs w:val="14"/>
                <w:color w:val="auto"/>
              </w:rPr>
              <w:t>Other, net</w:t>
            </w:r>
          </w:p>
        </w:tc>
        <w:tc>
          <w:tcPr>
            <w:tcW w:w="220" w:type="dxa"/>
            <w:vAlign w:val="bottom"/>
            <w:shd w:val="clear" w:color="auto" w:fill="CFF0FC"/>
          </w:tcPr>
          <w:p>
            <w:pPr>
              <w:spacing w:after="0"/>
              <w:rPr>
                <w:sz w:val="14"/>
                <w:szCs w:val="14"/>
                <w:color w:val="auto"/>
              </w:rPr>
            </w:pPr>
          </w:p>
        </w:tc>
        <w:tc>
          <w:tcPr>
            <w:tcW w:w="18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(249)</w:t>
            </w:r>
          </w:p>
        </w:tc>
        <w:tc>
          <w:tcPr>
            <w:tcW w:w="240" w:type="dxa"/>
            <w:vAlign w:val="bottom"/>
            <w:shd w:val="clear" w:color="auto" w:fill="CFF0FC"/>
          </w:tcPr>
          <w:p>
            <w:pPr>
              <w:spacing w:after="0"/>
              <w:rPr>
                <w:sz w:val="14"/>
                <w:szCs w:val="14"/>
                <w:color w:val="auto"/>
              </w:rPr>
            </w:pPr>
          </w:p>
        </w:tc>
        <w:tc>
          <w:tcPr>
            <w:tcW w:w="16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(428)</w:t>
            </w:r>
          </w:p>
        </w:tc>
      </w:tr>
      <w:tr>
        <w:trPr>
          <w:trHeight w:val="20"/>
        </w:trPr>
        <w:tc>
          <w:tcPr>
            <w:tcW w:w="73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55"/>
        </w:trPr>
        <w:tc>
          <w:tcPr>
            <w:tcW w:w="7320" w:type="dxa"/>
            <w:vAlign w:val="bottom"/>
          </w:tcPr>
          <w:p>
            <w:pPr>
              <w:spacing w:after="0" w:line="155" w:lineRule="exact"/>
              <w:rPr>
                <w:sz w:val="20"/>
                <w:szCs w:val="20"/>
                <w:color w:val="auto"/>
              </w:rPr>
            </w:pPr>
            <w:r>
              <w:rPr>
                <w:rFonts w:ascii="Arial" w:cs="Arial" w:eastAsia="Arial" w:hAnsi="Arial"/>
                <w:sz w:val="14"/>
                <w:szCs w:val="14"/>
                <w:color w:val="auto"/>
              </w:rPr>
              <w:t>Net cash (used) provided by financing activities</w:t>
            </w:r>
          </w:p>
        </w:tc>
        <w:tc>
          <w:tcPr>
            <w:tcW w:w="220" w:type="dxa"/>
            <w:vAlign w:val="bottom"/>
          </w:tcPr>
          <w:p>
            <w:pPr>
              <w:spacing w:after="0"/>
              <w:rPr>
                <w:sz w:val="13"/>
                <w:szCs w:val="13"/>
                <w:color w:val="auto"/>
              </w:rPr>
            </w:pPr>
          </w:p>
        </w:tc>
        <w:tc>
          <w:tcPr>
            <w:tcW w:w="180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(17,361)</w:t>
            </w:r>
          </w:p>
        </w:tc>
        <w:tc>
          <w:tcPr>
            <w:tcW w:w="240" w:type="dxa"/>
            <w:vAlign w:val="bottom"/>
          </w:tcPr>
          <w:p>
            <w:pPr>
              <w:spacing w:after="0"/>
              <w:rPr>
                <w:sz w:val="13"/>
                <w:szCs w:val="13"/>
                <w:color w:val="auto"/>
              </w:rPr>
            </w:pPr>
          </w:p>
        </w:tc>
        <w:tc>
          <w:tcPr>
            <w:tcW w:w="1540" w:type="dxa"/>
            <w:vAlign w:val="bottom"/>
          </w:tcPr>
          <w:p>
            <w:pPr>
              <w:jc w:val="right"/>
              <w:spacing w:after="0" w:line="155" w:lineRule="exact"/>
              <w:rPr>
                <w:sz w:val="20"/>
                <w:szCs w:val="20"/>
                <w:color w:val="auto"/>
              </w:rPr>
            </w:pPr>
            <w:r>
              <w:rPr>
                <w:rFonts w:ascii="Arial" w:cs="Arial" w:eastAsia="Arial" w:hAnsi="Arial"/>
                <w:sz w:val="14"/>
                <w:szCs w:val="14"/>
                <w:color w:val="auto"/>
              </w:rPr>
              <w:t>9,275</w:t>
            </w:r>
          </w:p>
        </w:tc>
        <w:tc>
          <w:tcPr>
            <w:tcW w:w="120" w:type="dxa"/>
            <w:vAlign w:val="bottom"/>
          </w:tcPr>
          <w:p>
            <w:pPr>
              <w:spacing w:after="0"/>
              <w:rPr>
                <w:sz w:val="13"/>
                <w:szCs w:val="13"/>
                <w:color w:val="auto"/>
              </w:rPr>
            </w:pPr>
          </w:p>
        </w:tc>
      </w:tr>
      <w:tr>
        <w:trPr>
          <w:trHeight w:val="156"/>
        </w:trPr>
        <w:tc>
          <w:tcPr>
            <w:tcW w:w="7320" w:type="dxa"/>
            <w:vAlign w:val="bottom"/>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1520" w:type="dxa"/>
            <w:vAlign w:val="bottom"/>
            <w:tcBorders>
              <w:top w:val="single" w:sz="8" w:color="auto"/>
            </w:tcBorders>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154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62"/>
        </w:trPr>
        <w:tc>
          <w:tcPr>
            <w:tcW w:w="7320" w:type="dxa"/>
            <w:vAlign w:val="bottom"/>
          </w:tcPr>
          <w:p>
            <w:pPr>
              <w:spacing w:after="0"/>
              <w:rPr>
                <w:sz w:val="20"/>
                <w:szCs w:val="20"/>
                <w:color w:val="auto"/>
              </w:rPr>
            </w:pPr>
            <w:r>
              <w:rPr>
                <w:rFonts w:ascii="Arial" w:cs="Arial" w:eastAsia="Arial" w:hAnsi="Arial"/>
                <w:sz w:val="14"/>
                <w:szCs w:val="14"/>
                <w:color w:val="auto"/>
              </w:rPr>
              <w:t>Effect of exchange rate changes on cash and cash equivalents</w:t>
            </w:r>
          </w:p>
        </w:tc>
        <w:tc>
          <w:tcPr>
            <w:tcW w:w="2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236</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2"/>
          </w:tcPr>
          <w:p>
            <w:pPr>
              <w:jc w:val="right"/>
              <w:ind w:right="80"/>
              <w:spacing w:after="0"/>
              <w:rPr>
                <w:sz w:val="20"/>
                <w:szCs w:val="20"/>
                <w:color w:val="auto"/>
              </w:rPr>
            </w:pPr>
            <w:r>
              <w:rPr>
                <w:rFonts w:ascii="Arial" w:cs="Arial" w:eastAsia="Arial" w:hAnsi="Arial"/>
                <w:sz w:val="14"/>
                <w:szCs w:val="14"/>
                <w:color w:val="auto"/>
              </w:rPr>
              <w:t>(10)</w:t>
            </w:r>
          </w:p>
        </w:tc>
      </w:tr>
      <w:tr>
        <w:trPr>
          <w:trHeight w:val="20"/>
        </w:trPr>
        <w:tc>
          <w:tcPr>
            <w:tcW w:w="7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6"/>
        </w:trPr>
        <w:tc>
          <w:tcPr>
            <w:tcW w:w="73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Net increase (decrease) in cash and cash equivalents</w:t>
            </w:r>
          </w:p>
        </w:tc>
        <w:tc>
          <w:tcPr>
            <w:tcW w:w="220" w:type="dxa"/>
            <w:vAlign w:val="bottom"/>
            <w:shd w:val="clear" w:color="auto" w:fill="CFF0FC"/>
          </w:tcPr>
          <w:p>
            <w:pPr>
              <w:spacing w:after="0"/>
              <w:rPr>
                <w:sz w:val="13"/>
                <w:szCs w:val="13"/>
                <w:color w:val="auto"/>
              </w:rPr>
            </w:pPr>
          </w:p>
        </w:tc>
        <w:tc>
          <w:tcPr>
            <w:tcW w:w="15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3,897</w:t>
            </w: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66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(10,550)</w:t>
            </w:r>
          </w:p>
        </w:tc>
      </w:tr>
      <w:tr>
        <w:trPr>
          <w:trHeight w:val="155"/>
        </w:trPr>
        <w:tc>
          <w:tcPr>
            <w:tcW w:w="7320" w:type="dxa"/>
            <w:vAlign w:val="bottom"/>
            <w:tcBorders>
              <w:top w:val="single" w:sz="8" w:color="CFF0FC"/>
              <w:bottom w:val="single" w:sz="8" w:color="CFF0FC"/>
            </w:tcBorders>
          </w:tcPr>
          <w:p>
            <w:pPr>
              <w:spacing w:after="0" w:line="155" w:lineRule="exact"/>
              <w:rPr>
                <w:sz w:val="20"/>
                <w:szCs w:val="20"/>
                <w:color w:val="auto"/>
              </w:rPr>
            </w:pPr>
            <w:r>
              <w:rPr>
                <w:rFonts w:ascii="Arial" w:cs="Arial" w:eastAsia="Arial" w:hAnsi="Arial"/>
                <w:sz w:val="14"/>
                <w:szCs w:val="14"/>
                <w:color w:val="auto"/>
              </w:rPr>
              <w:t>Cash and cash equivalents at end of period</w:t>
            </w:r>
          </w:p>
        </w:tc>
        <w:tc>
          <w:tcPr>
            <w:tcW w:w="220" w:type="dxa"/>
            <w:vAlign w:val="bottom"/>
            <w:tcBorders>
              <w:top w:val="single" w:sz="8" w:color="auto"/>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1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26,561</w:t>
            </w:r>
          </w:p>
        </w:tc>
        <w:tc>
          <w:tcPr>
            <w:tcW w:w="280" w:type="dxa"/>
            <w:vAlign w:val="bottom"/>
            <w:tcBorders>
              <w:top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w:t>
            </w:r>
          </w:p>
        </w:tc>
        <w:tc>
          <w:tcPr>
            <w:tcW w:w="1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16,255</w:t>
            </w:r>
          </w:p>
        </w:tc>
        <w:tc>
          <w:tcPr>
            <w:tcW w:w="120" w:type="dxa"/>
            <w:vAlign w:val="bottom"/>
            <w:tcBorders>
              <w:top w:val="single" w:sz="8" w:color="CFF0FC"/>
            </w:tcBorders>
          </w:tcPr>
          <w:p>
            <w:pPr>
              <w:spacing w:after="0"/>
              <w:rPr>
                <w:sz w:val="13"/>
                <w:szCs w:val="13"/>
                <w:color w:val="auto"/>
              </w:rPr>
            </w:pPr>
          </w:p>
        </w:tc>
      </w:tr>
      <w:tr>
        <w:trPr>
          <w:trHeight w:val="20"/>
        </w:trPr>
        <w:tc>
          <w:tcPr>
            <w:tcW w:w="7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-1833880</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-1833880</wp:posOffset>
            </wp:positionV>
            <wp:extent cx="7747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5744210</wp:posOffset>
            </wp:positionH>
            <wp:positionV relativeFrom="paragraph">
              <wp:posOffset>-1426845</wp:posOffset>
            </wp:positionV>
            <wp:extent cx="93980" cy="1454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-1426845</wp:posOffset>
            </wp:positionV>
            <wp:extent cx="102870" cy="1454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02870" cy="14541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-574040</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-574040</wp:posOffset>
            </wp:positionV>
            <wp:extent cx="7747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-136525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-136525</wp:posOffset>
            </wp:positionV>
            <wp:extent cx="774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Unifi,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Background</w:t>
      </w:r>
    </w:p>
    <w:p>
      <w:pPr>
        <w:spacing w:after="0" w:line="109"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Unifi, Inc., a New York corporation formed in 1969 (together with its subsidiaries, “UNIFI,” the “Company,” “we,” “us,” or “our”), is a multinational company that manufactures and sells innovative recycled and synthetic products, made from polyester and nylon, primarily to other yarn manufacturers and knitters and weavers (UNIFI’s “direct customers”) that produce yarn and/or fabric for the apparel, hosiery, home furnishings, automotive, industrial, medical, and other end-use markets (UNIFI’s “indirect customers”). We sometimes refer to these indirect customers as “brand partners.” Polyester products include partially oriented yarn (“POY”) and textured, solution and package dyed, twisted, beamed, and draw wound yarns, and each is available in virgin or recycled varieties. Recycled solutions, made from both pre-consumer and post-consumer waste, include plastic bottle flake (“Flake”), polyester polymer beads (“Chip”), and staple fiber. Nylon products include virgin or recycled textured, solution dyed, and spandex covered yarns.</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UNIFI maintains one of the textile industry’s most comprehensive product offerings that includes a range of specialized, value-added, and commodity solutions, with principal geographic markets in North America, Central America, South America, Asia, and Europe. UNIFI has direct manufacturing operations in four countries and participates in a joint venture with operations in the United States (the “U.S.”).</w:t>
      </w: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Basis of Presentation; Condensed Notes</w:t>
      </w:r>
    </w:p>
    <w:p>
      <w:pPr>
        <w:spacing w:after="0" w:line="109" w:lineRule="exact"/>
        <w:rPr>
          <w:sz w:val="20"/>
          <w:szCs w:val="20"/>
          <w:color w:val="auto"/>
        </w:rPr>
      </w:pPr>
    </w:p>
    <w:p>
      <w:pPr>
        <w:jc w:val="both"/>
        <w:ind w:right="20"/>
        <w:spacing w:after="0" w:line="256" w:lineRule="auto"/>
        <w:rPr>
          <w:sz w:val="20"/>
          <w:szCs w:val="20"/>
          <w:color w:val="auto"/>
        </w:rPr>
      </w:pPr>
      <w:r>
        <w:rPr>
          <w:rFonts w:ascii="Arial" w:cs="Arial" w:eastAsia="Arial" w:hAnsi="Arial"/>
          <w:sz w:val="14"/>
          <w:szCs w:val="14"/>
          <w:color w:val="auto"/>
        </w:rPr>
        <w:t>The accompanying condensed consolidated financial statements are unaudited and have been prepared in accordance with U.S. generally accepted accounting principles (“GAAP”) for interim financial information. As contemplated by the instructions of the SEC to Form 10-Q, the following notes have been condensed and, therefore, do not contain all disclosures required in connection with annual financial statements. Reference should be made to UNIFI’s year-end audited consolidated financial statements and related notes thereto contained in its Annual Report on Form 10-K for the fiscal year ended June 29, 2025 (the “2025 Form 10-K”).</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The financial information included in this report has been prepared by UNIFI, without audit. In the opinion of management, all adjustments, which consist of normal, recurring adjustments, considered necessary for a fair statement of the results for interim periods have been included. Nevertheless, the results shown for interim periods are not necessarily indicative of results to be expected for the full year. The preparation of financial statements in conformity with GAAP requires management to make use of estimates and assumptions that affect the amounts reported and certain financial statement disclosures. Actual results may vary from these estimates.</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All amounts, except per share amounts, are presented in thousands (000s), except as otherwise noted.</w:t>
      </w:r>
    </w:p>
    <w:p>
      <w:pPr>
        <w:spacing w:after="0" w:line="217"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The fiscal quarter for each of Unifi, Inc., its primary domestic operating subsidiaries and its subsidiary in El Salvador ended on March 29, 2026. Unifi, Inc.’s remaining material operating subsidiaries’ fiscal quarters ended on March 31, 2026. There were no significant transactions or events that occurred between Unifi, Inc.’s fiscal quarter end and such wholly owned subsidiaries’ fiscal quarters end. The three-month periods ended March 29, 2026 and March 30, 2025 both consisted of 13 weeks. The nine-month periods ended March 29, 2026 and March 30, 2025 both consisted of 39 weeks.</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Recent Accounting Pronouncements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Issued and Pending Adoption</w:t>
      </w:r>
    </w:p>
    <w:p>
      <w:pPr>
        <w:spacing w:after="0" w:line="215"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 xml:space="preserve">In November 2024, the FASB issued ASU 2024-03, </w:t>
      </w:r>
      <w:r>
        <w:rPr>
          <w:rFonts w:ascii="Arial" w:cs="Arial" w:eastAsia="Arial" w:hAnsi="Arial"/>
          <w:sz w:val="14"/>
          <w:szCs w:val="14"/>
          <w:i w:val="1"/>
          <w:iCs w:val="1"/>
          <w:color w:val="auto"/>
        </w:rPr>
        <w:t>Income Statement - Reporting Comprehensive Income - Expense Disaggregation Disclosures (Subtopic 220-40):</w:t>
      </w:r>
      <w:r>
        <w:rPr>
          <w:rFonts w:ascii="Arial" w:cs="Arial" w:eastAsia="Arial" w:hAnsi="Arial"/>
          <w:sz w:val="14"/>
          <w:szCs w:val="14"/>
          <w:color w:val="auto"/>
        </w:rPr>
        <w:t xml:space="preserve"> </w:t>
      </w:r>
      <w:r>
        <w:rPr>
          <w:rFonts w:ascii="Arial" w:cs="Arial" w:eastAsia="Arial" w:hAnsi="Arial"/>
          <w:sz w:val="14"/>
          <w:szCs w:val="14"/>
          <w:i w:val="1"/>
          <w:iCs w:val="1"/>
          <w:color w:val="auto"/>
        </w:rPr>
        <w:t>Disaggregation of Income Statement Expenses</w:t>
      </w:r>
      <w:r>
        <w:rPr>
          <w:rFonts w:ascii="Arial" w:cs="Arial" w:eastAsia="Arial" w:hAnsi="Arial"/>
          <w:sz w:val="14"/>
          <w:szCs w:val="14"/>
          <w:color w:val="auto"/>
        </w:rPr>
        <w:t>. ASU No. 2024-03 does not change or remove existing expense disclosure requirements but requires disaggregated disclosures</w:t>
      </w:r>
      <w:r>
        <w:rPr>
          <w:rFonts w:ascii="Arial" w:cs="Arial" w:eastAsia="Arial" w:hAnsi="Arial"/>
          <w:sz w:val="14"/>
          <w:szCs w:val="14"/>
          <w:i w:val="1"/>
          <w:iCs w:val="1"/>
          <w:color w:val="auto"/>
        </w:rPr>
        <w:t xml:space="preserve"> </w:t>
      </w:r>
      <w:r>
        <w:rPr>
          <w:rFonts w:ascii="Arial" w:cs="Arial" w:eastAsia="Arial" w:hAnsi="Arial"/>
          <w:sz w:val="14"/>
          <w:szCs w:val="14"/>
          <w:color w:val="auto"/>
        </w:rPr>
        <w:t>about certain expense categories and captions, including but not limited to, purchases of inventory, employee compensation, depreciation, amortization and selling expenses. This ASU will become effective for UNIFI's fiscal 2028 and in the first quarter of fiscal 2029 for interim reporting, with retrospective application permitted. UNIFI is currently evaluating the impact on the Company's disclosures on its consolidated financial statements.</w:t>
      </w:r>
    </w:p>
    <w:p>
      <w:pPr>
        <w:spacing w:after="0" w:line="181" w:lineRule="exact"/>
        <w:rPr>
          <w:sz w:val="20"/>
          <w:szCs w:val="20"/>
          <w:color w:val="auto"/>
        </w:rPr>
      </w:pPr>
    </w:p>
    <w:p>
      <w:pPr>
        <w:jc w:val="both"/>
        <w:spacing w:after="0" w:line="248" w:lineRule="auto"/>
        <w:rPr>
          <w:sz w:val="20"/>
          <w:szCs w:val="20"/>
          <w:color w:val="auto"/>
        </w:rPr>
      </w:pPr>
      <w:r>
        <w:rPr>
          <w:rFonts w:ascii="Arial" w:cs="Arial" w:eastAsia="Arial" w:hAnsi="Arial"/>
          <w:sz w:val="14"/>
          <w:szCs w:val="14"/>
          <w:color w:val="auto"/>
        </w:rPr>
        <w:t xml:space="preserve">In December 2023, the Financial Accounting Standards Board (the “FASB”) issued Accounting Standards Update (“ASU”) No. 2023-09, </w:t>
      </w:r>
      <w:r>
        <w:rPr>
          <w:rFonts w:ascii="Arial" w:cs="Arial" w:eastAsia="Arial" w:hAnsi="Arial"/>
          <w:sz w:val="14"/>
          <w:szCs w:val="14"/>
          <w:i w:val="1"/>
          <w:iCs w:val="1"/>
          <w:color w:val="auto"/>
        </w:rPr>
        <w:t>Income Taxes (Topic 740):</w:t>
      </w:r>
      <w:r>
        <w:rPr>
          <w:rFonts w:ascii="Arial" w:cs="Arial" w:eastAsia="Arial" w:hAnsi="Arial"/>
          <w:sz w:val="14"/>
          <w:szCs w:val="14"/>
          <w:color w:val="auto"/>
        </w:rPr>
        <w:t xml:space="preserve"> </w:t>
      </w:r>
      <w:r>
        <w:rPr>
          <w:rFonts w:ascii="Arial" w:cs="Arial" w:eastAsia="Arial" w:hAnsi="Arial"/>
          <w:sz w:val="14"/>
          <w:szCs w:val="14"/>
          <w:i w:val="1"/>
          <w:iCs w:val="1"/>
          <w:color w:val="auto"/>
        </w:rPr>
        <w:t>Improvements to Income Tax Disclosures</w:t>
      </w:r>
      <w:r>
        <w:rPr>
          <w:rFonts w:ascii="Arial" w:cs="Arial" w:eastAsia="Arial" w:hAnsi="Arial"/>
          <w:sz w:val="14"/>
          <w:szCs w:val="14"/>
          <w:color w:val="auto"/>
        </w:rPr>
        <w:t>. ASU No. 2023-09 modifies the rules on income tax disclosures to require entities to disclose (i) specific categories in the rate</w:t>
      </w:r>
      <w:r>
        <w:rPr>
          <w:rFonts w:ascii="Arial" w:cs="Arial" w:eastAsia="Arial" w:hAnsi="Arial"/>
          <w:sz w:val="14"/>
          <w:szCs w:val="14"/>
          <w:i w:val="1"/>
          <w:iCs w:val="1"/>
          <w:color w:val="auto"/>
        </w:rPr>
        <w:t xml:space="preserve"> </w:t>
      </w:r>
      <w:r>
        <w:rPr>
          <w:rFonts w:ascii="Arial" w:cs="Arial" w:eastAsia="Arial" w:hAnsi="Arial"/>
          <w:sz w:val="14"/>
          <w:szCs w:val="14"/>
          <w:color w:val="auto"/>
        </w:rPr>
        <w:t>reconciliation, (ii) the income or loss from continuing operations before income tax expense or benefit (separated between domestic and foreign) and (iii) income tax expense or benefit from continuing operations (separated by federal, state, and foreign). The ASU also requires entities to disclose their income tax payments to international, federal, state, and local jurisdictions, among other changes. The ASU is effective for UNIFI's fiscal 2026, with early adoption permitted, and should be applied on a prospective basis, but retrospective application is permitted. UNIFI is currently evaluating the impact on the Company’s disclosures but does not expect this standard will have a material impact on its consolidated financial position, results of operations, or cash flows.</w:t>
      </w:r>
    </w:p>
    <w:p>
      <w:pPr>
        <w:spacing w:after="0" w:line="185"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Based on UNIFI’s review of ASUs issued since the filing of the 2025 Form 10-K, there have been no other newly issued or newly applicable accounting pronouncements that have had, or are expected to have, a material impact on UNIFI’s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4"/>
          <w:szCs w:val="14"/>
          <w:b w:val="1"/>
          <w:bCs w:val="1"/>
          <w:color w:val="auto"/>
        </w:rPr>
        <w:t>Unifi,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Revenue</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tables present net sales disaggregated by (i) classification of customer type and (ii) REPREVE</w:t>
      </w:r>
      <w:r>
        <w:rPr>
          <w:rFonts w:ascii="Arial" w:cs="Arial" w:eastAsia="Arial" w:hAnsi="Arial"/>
          <w:sz w:val="19"/>
          <w:szCs w:val="19"/>
          <w:color w:val="auto"/>
          <w:vertAlign w:val="superscript"/>
        </w:rPr>
        <w:t>®</w:t>
      </w:r>
      <w:r>
        <w:rPr>
          <w:rFonts w:ascii="Arial" w:cs="Arial" w:eastAsia="Arial" w:hAnsi="Arial"/>
          <w:sz w:val="14"/>
          <w:szCs w:val="14"/>
          <w:color w:val="auto"/>
        </w:rPr>
        <w:t xml:space="preserve"> Fiber sales: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60" w:type="dxa"/>
            <w:vAlign w:val="bottom"/>
            <w:gridSpan w:val="4"/>
          </w:tcPr>
          <w:p>
            <w:pPr>
              <w:jc w:val="right"/>
              <w:ind w:right="628"/>
              <w:spacing w:after="0"/>
              <w:rPr>
                <w:sz w:val="20"/>
                <w:szCs w:val="20"/>
                <w:color w:val="auto"/>
              </w:rPr>
            </w:pPr>
            <w:r>
              <w:rPr>
                <w:rFonts w:ascii="Arial" w:cs="Arial" w:eastAsia="Arial" w:hAnsi="Arial"/>
                <w:sz w:val="14"/>
                <w:szCs w:val="14"/>
                <w:b w:val="1"/>
                <w:bCs w:val="1"/>
                <w:color w:val="auto"/>
              </w:rPr>
              <w:t>For the Three Months Ended</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00" w:type="dxa"/>
            <w:vAlign w:val="bottom"/>
            <w:gridSpan w:val="5"/>
          </w:tcPr>
          <w:p>
            <w:pPr>
              <w:ind w:left="560"/>
              <w:spacing w:after="0"/>
              <w:rPr>
                <w:sz w:val="20"/>
                <w:szCs w:val="20"/>
                <w:color w:val="auto"/>
              </w:rPr>
            </w:pPr>
            <w:r>
              <w:rPr>
                <w:rFonts w:ascii="Arial" w:cs="Arial" w:eastAsia="Arial" w:hAnsi="Arial"/>
                <w:sz w:val="14"/>
                <w:szCs w:val="14"/>
                <w:b w:val="1"/>
                <w:bCs w:val="1"/>
                <w:color w:val="auto"/>
              </w:rPr>
              <w:t>For the Nine Months Ended</w:t>
            </w:r>
          </w:p>
        </w:tc>
      </w:tr>
      <w:tr>
        <w:trPr>
          <w:trHeight w:val="156"/>
        </w:trPr>
        <w:tc>
          <w:tcPr>
            <w:tcW w:w="28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March 29, 2026</w:t>
            </w:r>
          </w:p>
        </w:tc>
        <w:tc>
          <w:tcPr>
            <w:tcW w:w="28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March 30, 2025</w:t>
            </w:r>
          </w:p>
        </w:tc>
        <w:tc>
          <w:tcPr>
            <w:tcW w:w="2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March 29, 2026</w:t>
            </w:r>
          </w:p>
        </w:tc>
        <w:tc>
          <w:tcPr>
            <w:tcW w:w="28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8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March 30, 2025</w:t>
            </w:r>
          </w:p>
        </w:tc>
        <w:tc>
          <w:tcPr>
            <w:tcW w:w="120" w:type="dxa"/>
            <w:vAlign w:val="bottom"/>
          </w:tcPr>
          <w:p>
            <w:pPr>
              <w:spacing w:after="0"/>
              <w:rPr>
                <w:sz w:val="13"/>
                <w:szCs w:val="13"/>
                <w:color w:val="auto"/>
              </w:rPr>
            </w:pPr>
          </w:p>
        </w:tc>
      </w:tr>
      <w:tr>
        <w:trPr>
          <w:trHeight w:val="155"/>
        </w:trPr>
        <w:tc>
          <w:tcPr>
            <w:tcW w:w="288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Third-party manufacturer</w:t>
            </w:r>
          </w:p>
        </w:tc>
        <w:tc>
          <w:tcPr>
            <w:tcW w:w="1460" w:type="dxa"/>
            <w:vAlign w:val="bottom"/>
            <w:gridSpan w:val="2"/>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3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129,237</w:t>
            </w:r>
          </w:p>
        </w:tc>
        <w:tc>
          <w:tcPr>
            <w:tcW w:w="440" w:type="dxa"/>
            <w:vAlign w:val="bottom"/>
            <w:gridSpan w:val="2"/>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3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145,519</w:t>
            </w:r>
          </w:p>
        </w:tc>
        <w:tc>
          <w:tcPr>
            <w:tcW w:w="440" w:type="dxa"/>
            <w:vAlign w:val="bottom"/>
            <w:gridSpan w:val="2"/>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3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384,554</w:t>
            </w:r>
          </w:p>
        </w:tc>
        <w:tc>
          <w:tcPr>
            <w:tcW w:w="440" w:type="dxa"/>
            <w:vAlign w:val="bottom"/>
            <w:gridSpan w:val="2"/>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3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429,611</w:t>
            </w:r>
          </w:p>
        </w:tc>
        <w:tc>
          <w:tcPr>
            <w:tcW w:w="120" w:type="dxa"/>
            <w:vAlign w:val="bottom"/>
            <w:shd w:val="clear" w:color="auto" w:fill="CFF0FC"/>
          </w:tcPr>
          <w:p>
            <w:pPr>
              <w:spacing w:after="0"/>
              <w:rPr>
                <w:sz w:val="13"/>
                <w:szCs w:val="13"/>
                <w:color w:val="auto"/>
              </w:rPr>
            </w:pPr>
          </w:p>
        </w:tc>
      </w:tr>
      <w:tr>
        <w:trPr>
          <w:trHeight w:val="162"/>
        </w:trPr>
        <w:tc>
          <w:tcPr>
            <w:tcW w:w="2880" w:type="dxa"/>
            <w:vAlign w:val="bottom"/>
          </w:tcPr>
          <w:p>
            <w:pPr>
              <w:spacing w:after="0"/>
              <w:rPr>
                <w:sz w:val="20"/>
                <w:szCs w:val="20"/>
                <w:color w:val="auto"/>
              </w:rPr>
            </w:pPr>
            <w:r>
              <w:rPr>
                <w:rFonts w:ascii="Arial" w:cs="Arial" w:eastAsia="Arial" w:hAnsi="Arial"/>
                <w:sz w:val="14"/>
                <w:szCs w:val="14"/>
                <w:color w:val="auto"/>
              </w:rPr>
              <w:t>Service</w:t>
            </w:r>
          </w:p>
        </w:tc>
        <w:tc>
          <w:tcPr>
            <w:tcW w:w="1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800</w:t>
            </w: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1,038</w:t>
            </w: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2,525</w:t>
            </w: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3,198</w:t>
            </w:r>
          </w:p>
        </w:tc>
        <w:tc>
          <w:tcPr>
            <w:tcW w:w="120" w:type="dxa"/>
            <w:vAlign w:val="bottom"/>
          </w:tcPr>
          <w:p>
            <w:pPr>
              <w:spacing w:after="0"/>
              <w:rPr>
                <w:sz w:val="14"/>
                <w:szCs w:val="14"/>
                <w:color w:val="auto"/>
              </w:rPr>
            </w:pPr>
          </w:p>
        </w:tc>
      </w:tr>
      <w:tr>
        <w:trPr>
          <w:trHeight w:val="195"/>
        </w:trPr>
        <w:tc>
          <w:tcPr>
            <w:tcW w:w="288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Net sales</w:t>
            </w:r>
          </w:p>
        </w:tc>
        <w:tc>
          <w:tcPr>
            <w:tcW w:w="13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130,037</w:t>
            </w:r>
          </w:p>
        </w:tc>
        <w:tc>
          <w:tcPr>
            <w:tcW w:w="2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146,557</w:t>
            </w:r>
          </w:p>
        </w:tc>
        <w:tc>
          <w:tcPr>
            <w:tcW w:w="2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387,079</w:t>
            </w:r>
          </w:p>
        </w:tc>
        <w:tc>
          <w:tcPr>
            <w:tcW w:w="2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432,809</w:t>
            </w:r>
          </w:p>
        </w:tc>
        <w:tc>
          <w:tcPr>
            <w:tcW w:w="12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-25400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-7620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-25400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-7620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-25400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60" w:type="dxa"/>
            <w:vAlign w:val="bottom"/>
            <w:gridSpan w:val="4"/>
          </w:tcPr>
          <w:p>
            <w:pPr>
              <w:jc w:val="right"/>
              <w:ind w:right="628"/>
              <w:spacing w:after="0"/>
              <w:rPr>
                <w:sz w:val="20"/>
                <w:szCs w:val="20"/>
                <w:color w:val="auto"/>
              </w:rPr>
            </w:pPr>
            <w:r>
              <w:rPr>
                <w:rFonts w:ascii="Arial" w:cs="Arial" w:eastAsia="Arial" w:hAnsi="Arial"/>
                <w:sz w:val="14"/>
                <w:szCs w:val="14"/>
                <w:b w:val="1"/>
                <w:bCs w:val="1"/>
                <w:color w:val="auto"/>
              </w:rPr>
              <w:t>For the Three Months Ended</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00" w:type="dxa"/>
            <w:vAlign w:val="bottom"/>
            <w:gridSpan w:val="5"/>
          </w:tcPr>
          <w:p>
            <w:pPr>
              <w:ind w:left="560"/>
              <w:spacing w:after="0"/>
              <w:rPr>
                <w:sz w:val="20"/>
                <w:szCs w:val="20"/>
                <w:color w:val="auto"/>
              </w:rPr>
            </w:pPr>
            <w:r>
              <w:rPr>
                <w:rFonts w:ascii="Arial" w:cs="Arial" w:eastAsia="Arial" w:hAnsi="Arial"/>
                <w:sz w:val="14"/>
                <w:szCs w:val="14"/>
                <w:b w:val="1"/>
                <w:bCs w:val="1"/>
                <w:color w:val="auto"/>
              </w:rPr>
              <w:t>For the Nine Months Ended</w:t>
            </w:r>
          </w:p>
        </w:tc>
      </w:tr>
      <w:tr>
        <w:trPr>
          <w:trHeight w:val="155"/>
        </w:trPr>
        <w:tc>
          <w:tcPr>
            <w:tcW w:w="3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March 29, 2026</w:t>
            </w:r>
          </w:p>
        </w:tc>
        <w:tc>
          <w:tcPr>
            <w:tcW w:w="28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March 30, 2025</w:t>
            </w:r>
          </w:p>
        </w:tc>
        <w:tc>
          <w:tcPr>
            <w:tcW w:w="2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March 29, 2026</w:t>
            </w:r>
          </w:p>
        </w:tc>
        <w:tc>
          <w:tcPr>
            <w:tcW w:w="28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8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March 30, 2025</w:t>
            </w:r>
          </w:p>
        </w:tc>
        <w:tc>
          <w:tcPr>
            <w:tcW w:w="120" w:type="dxa"/>
            <w:vAlign w:val="bottom"/>
          </w:tcPr>
          <w:p>
            <w:pPr>
              <w:spacing w:after="0"/>
              <w:rPr>
                <w:sz w:val="13"/>
                <w:szCs w:val="13"/>
                <w:color w:val="auto"/>
              </w:rPr>
            </w:pPr>
          </w:p>
        </w:tc>
      </w:tr>
      <w:tr>
        <w:trPr>
          <w:trHeight w:val="156"/>
        </w:trPr>
        <w:tc>
          <w:tcPr>
            <w:tcW w:w="3080" w:type="dxa"/>
            <w:vAlign w:val="bottom"/>
            <w:shd w:val="clear" w:color="auto" w:fill="CFF0FC"/>
          </w:tcPr>
          <w:p>
            <w:pPr>
              <w:spacing w:after="0" w:line="156" w:lineRule="exact"/>
              <w:rPr>
                <w:sz w:val="20"/>
                <w:szCs w:val="20"/>
                <w:color w:val="auto"/>
              </w:rPr>
            </w:pPr>
            <w:r>
              <w:rPr>
                <w:rFonts w:ascii="Arial" w:cs="Arial" w:eastAsia="Arial" w:hAnsi="Arial"/>
                <w:sz w:val="14"/>
                <w:szCs w:val="14"/>
                <w:color w:val="auto"/>
              </w:rPr>
              <w:t>REPREVE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Fiber</w:t>
            </w:r>
          </w:p>
        </w:tc>
        <w:tc>
          <w:tcPr>
            <w:tcW w:w="1260" w:type="dxa"/>
            <w:vAlign w:val="bottom"/>
            <w:gridSpan w:val="2"/>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3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38,248</w:t>
            </w:r>
          </w:p>
        </w:tc>
        <w:tc>
          <w:tcPr>
            <w:tcW w:w="440" w:type="dxa"/>
            <w:vAlign w:val="bottom"/>
            <w:gridSpan w:val="2"/>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3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44,699</w:t>
            </w:r>
          </w:p>
        </w:tc>
        <w:tc>
          <w:tcPr>
            <w:tcW w:w="440" w:type="dxa"/>
            <w:vAlign w:val="bottom"/>
            <w:gridSpan w:val="2"/>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3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111,784</w:t>
            </w:r>
          </w:p>
        </w:tc>
        <w:tc>
          <w:tcPr>
            <w:tcW w:w="440" w:type="dxa"/>
            <w:vAlign w:val="bottom"/>
            <w:gridSpan w:val="2"/>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3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132,713</w:t>
            </w:r>
          </w:p>
        </w:tc>
        <w:tc>
          <w:tcPr>
            <w:tcW w:w="120" w:type="dxa"/>
            <w:vAlign w:val="bottom"/>
            <w:shd w:val="clear" w:color="auto" w:fill="CFF0FC"/>
          </w:tcPr>
          <w:p>
            <w:pPr>
              <w:spacing w:after="0"/>
              <w:rPr>
                <w:sz w:val="13"/>
                <w:szCs w:val="13"/>
                <w:color w:val="auto"/>
              </w:rPr>
            </w:pPr>
          </w:p>
        </w:tc>
      </w:tr>
      <w:tr>
        <w:trPr>
          <w:trHeight w:val="162"/>
        </w:trPr>
        <w:tc>
          <w:tcPr>
            <w:tcW w:w="3080" w:type="dxa"/>
            <w:vAlign w:val="bottom"/>
          </w:tcPr>
          <w:p>
            <w:pPr>
              <w:spacing w:after="0"/>
              <w:rPr>
                <w:sz w:val="20"/>
                <w:szCs w:val="20"/>
                <w:color w:val="auto"/>
              </w:rPr>
            </w:pPr>
            <w:r>
              <w:rPr>
                <w:rFonts w:ascii="Arial" w:cs="Arial" w:eastAsia="Arial" w:hAnsi="Arial"/>
                <w:sz w:val="14"/>
                <w:szCs w:val="14"/>
                <w:color w:val="auto"/>
              </w:rPr>
              <w:t>All other products and services</w:t>
            </w:r>
          </w:p>
        </w:tc>
        <w:tc>
          <w:tcPr>
            <w:tcW w:w="1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91,789</w:t>
            </w: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101,858</w:t>
            </w: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275,295</w:t>
            </w: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300,096</w:t>
            </w:r>
          </w:p>
        </w:tc>
        <w:tc>
          <w:tcPr>
            <w:tcW w:w="120" w:type="dxa"/>
            <w:vAlign w:val="bottom"/>
          </w:tcPr>
          <w:p>
            <w:pPr>
              <w:spacing w:after="0"/>
              <w:rPr>
                <w:sz w:val="14"/>
                <w:szCs w:val="14"/>
                <w:color w:val="auto"/>
              </w:rPr>
            </w:pPr>
          </w:p>
        </w:tc>
      </w:tr>
      <w:tr>
        <w:trPr>
          <w:trHeight w:val="196"/>
        </w:trPr>
        <w:tc>
          <w:tcPr>
            <w:tcW w:w="308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Net sales</w:t>
            </w:r>
          </w:p>
        </w:tc>
        <w:tc>
          <w:tcPr>
            <w:tcW w:w="1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130,037</w:t>
            </w:r>
          </w:p>
        </w:tc>
        <w:tc>
          <w:tcPr>
            <w:tcW w:w="2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146,557</w:t>
            </w:r>
          </w:p>
        </w:tc>
        <w:tc>
          <w:tcPr>
            <w:tcW w:w="2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387,079</w:t>
            </w:r>
          </w:p>
        </w:tc>
        <w:tc>
          <w:tcPr>
            <w:tcW w:w="2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432,809</w:t>
            </w:r>
          </w:p>
        </w:tc>
        <w:tc>
          <w:tcPr>
            <w:tcW w:w="12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-25400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-8255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-25400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-8255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-25400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Third-Party Manufacturer</w:t>
      </w:r>
    </w:p>
    <w:p>
      <w:pPr>
        <w:spacing w:after="0" w:line="107"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Third-party manufacturer revenue is primarily generated through sales to direct customers. Such sales represent satisfaction of UNIFI’s performance obligations required by the associated revenue contracts. Each of UNIFI’s reportable segments derives revenue from sales to third-party manufacturers.</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Service Revenue</w:t>
      </w:r>
    </w:p>
    <w:p>
      <w:pPr>
        <w:spacing w:after="0" w:line="107" w:lineRule="exact"/>
        <w:rPr>
          <w:sz w:val="20"/>
          <w:szCs w:val="20"/>
          <w:color w:val="auto"/>
        </w:rPr>
      </w:pPr>
    </w:p>
    <w:p>
      <w:pPr>
        <w:jc w:val="both"/>
        <w:ind w:right="20"/>
        <w:spacing w:after="0" w:line="285" w:lineRule="auto"/>
        <w:rPr>
          <w:sz w:val="20"/>
          <w:szCs w:val="20"/>
          <w:color w:val="auto"/>
        </w:rPr>
      </w:pPr>
      <w:r>
        <w:rPr>
          <w:rFonts w:ascii="Arial" w:cs="Arial" w:eastAsia="Arial" w:hAnsi="Arial"/>
          <w:sz w:val="14"/>
          <w:szCs w:val="14"/>
          <w:color w:val="auto"/>
        </w:rPr>
        <w:t>Service revenue is primarily generated, as services are rendered, through fulfillment of toll manufacturing of textile products or transportation services governed by written agreements. Such toll manufacturing and transportation services represent satisfaction of UNIFI’s performance obligations required by the associated revenue contracts.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REPREVE</w:t>
      </w:r>
      <w:r>
        <w:rPr>
          <w:rFonts w:ascii="Arial" w:cs="Arial" w:eastAsia="Arial" w:hAnsi="Arial"/>
          <w:sz w:val="19"/>
          <w:szCs w:val="19"/>
          <w:color w:val="auto"/>
          <w:vertAlign w:val="superscript"/>
        </w:rPr>
        <w:t>®</w:t>
      </w:r>
      <w:r>
        <w:rPr>
          <w:rFonts w:ascii="Arial" w:cs="Arial" w:eastAsia="Arial" w:hAnsi="Arial"/>
          <w:sz w:val="14"/>
          <w:szCs w:val="14"/>
          <w:i w:val="1"/>
          <w:iCs w:val="1"/>
          <w:color w:val="auto"/>
        </w:rPr>
        <w:t xml:space="preserve"> Fiber</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color w:val="auto"/>
        </w:rPr>
        <w:t>REPREVE</w:t>
      </w:r>
      <w:r>
        <w:rPr>
          <w:rFonts w:ascii="Arial" w:cs="Arial" w:eastAsia="Arial" w:hAnsi="Arial"/>
          <w:sz w:val="19"/>
          <w:szCs w:val="19"/>
          <w:color w:val="auto"/>
          <w:vertAlign w:val="superscript"/>
        </w:rPr>
        <w:t>®</w:t>
      </w:r>
      <w:r>
        <w:rPr>
          <w:rFonts w:ascii="Arial" w:cs="Arial" w:eastAsia="Arial" w:hAnsi="Arial"/>
          <w:sz w:val="14"/>
          <w:szCs w:val="14"/>
          <w:color w:val="auto"/>
        </w:rPr>
        <w:t xml:space="preserve"> Fiber represents UNIFI's collection of fiber products on our recycled platform, with or without added technologies.</w:t>
      </w: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Long-Term Debt</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Debt Obligations</w:t>
      </w:r>
    </w:p>
    <w:p>
      <w:pPr>
        <w:spacing w:after="0" w:line="107"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The following table and narrative presents the detail of UNIFI’s debt obligations. Capitalized terms not otherwise defined within this Note shall have the meanings attributed to them in the Second Amended and Restated Credit Agreement, dated as of October 28, 2022 (the “2022 Credit Agreement”) as amended.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Weighted Average</w:t>
            </w:r>
          </w:p>
        </w:tc>
        <w:tc>
          <w:tcPr>
            <w:tcW w:w="180" w:type="dxa"/>
            <w:vAlign w:val="bottom"/>
          </w:tcPr>
          <w:p>
            <w:pPr>
              <w:spacing w:after="0"/>
              <w:rPr>
                <w:sz w:val="15"/>
                <w:szCs w:val="15"/>
                <w:color w:val="auto"/>
              </w:rPr>
            </w:pPr>
          </w:p>
        </w:tc>
        <w:tc>
          <w:tcPr>
            <w:tcW w:w="3380" w:type="dxa"/>
            <w:vAlign w:val="bottom"/>
            <w:gridSpan w:val="6"/>
            <w:vMerge w:val="restart"/>
          </w:tcPr>
          <w:p>
            <w:pPr>
              <w:jc w:val="right"/>
              <w:ind w:right="1020"/>
              <w:spacing w:after="0"/>
              <w:rPr>
                <w:sz w:val="20"/>
                <w:szCs w:val="20"/>
                <w:color w:val="auto"/>
              </w:rPr>
            </w:pPr>
            <w:r>
              <w:rPr>
                <w:rFonts w:ascii="Arial" w:cs="Arial" w:eastAsia="Arial" w:hAnsi="Arial"/>
                <w:sz w:val="14"/>
                <w:szCs w:val="14"/>
                <w:b w:val="1"/>
                <w:bCs w:val="1"/>
                <w:color w:val="auto"/>
              </w:rPr>
              <w:t>Principal Amounts as of</w:t>
            </w:r>
          </w:p>
        </w:tc>
        <w:tc>
          <w:tcPr>
            <w:tcW w:w="0" w:type="dxa"/>
            <w:vAlign w:val="bottom"/>
          </w:tcPr>
          <w:p>
            <w:pPr>
              <w:spacing w:after="0"/>
              <w:rPr>
                <w:sz w:val="1"/>
                <w:szCs w:val="1"/>
                <w:color w:val="auto"/>
              </w:rPr>
            </w:pPr>
          </w:p>
        </w:tc>
      </w:tr>
      <w:tr>
        <w:trPr>
          <w:trHeight w:val="158"/>
        </w:trPr>
        <w:tc>
          <w:tcPr>
            <w:tcW w:w="4080" w:type="dxa"/>
            <w:vAlign w:val="bottom"/>
          </w:tcPr>
          <w:p>
            <w:pPr>
              <w:spacing w:after="0"/>
              <w:rPr>
                <w:sz w:val="13"/>
                <w:szCs w:val="13"/>
                <w:color w:val="auto"/>
              </w:rPr>
            </w:pPr>
          </w:p>
        </w:tc>
        <w:tc>
          <w:tcPr>
            <w:tcW w:w="15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Scheduled</w:t>
            </w:r>
          </w:p>
        </w:tc>
        <w:tc>
          <w:tcPr>
            <w:tcW w:w="120" w:type="dxa"/>
            <w:vAlign w:val="bottom"/>
          </w:tcPr>
          <w:p>
            <w:pPr>
              <w:spacing w:after="0"/>
              <w:rPr>
                <w:sz w:val="13"/>
                <w:szCs w:val="13"/>
                <w:color w:val="auto"/>
              </w:rPr>
            </w:pPr>
          </w:p>
        </w:tc>
        <w:tc>
          <w:tcPr>
            <w:tcW w:w="190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rPr>
              <w:t>Interest Rate as of</w:t>
            </w:r>
          </w:p>
        </w:tc>
        <w:tc>
          <w:tcPr>
            <w:tcW w:w="180" w:type="dxa"/>
            <w:vAlign w:val="bottom"/>
          </w:tcPr>
          <w:p>
            <w:pPr>
              <w:spacing w:after="0"/>
              <w:rPr>
                <w:sz w:val="13"/>
                <w:szCs w:val="13"/>
                <w:color w:val="auto"/>
              </w:rPr>
            </w:pPr>
          </w:p>
        </w:tc>
        <w:tc>
          <w:tcPr>
            <w:tcW w:w="338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80" w:type="dxa"/>
            <w:vAlign w:val="bottom"/>
          </w:tcPr>
          <w:p>
            <w:pPr>
              <w:spacing w:after="0"/>
              <w:rPr>
                <w:sz w:val="13"/>
                <w:szCs w:val="13"/>
                <w:color w:val="auto"/>
              </w:rPr>
            </w:pPr>
          </w:p>
        </w:tc>
        <w:tc>
          <w:tcPr>
            <w:tcW w:w="158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Maturity Date</w:t>
            </w:r>
          </w:p>
        </w:tc>
        <w:tc>
          <w:tcPr>
            <w:tcW w:w="120" w:type="dxa"/>
            <w:vAlign w:val="bottom"/>
          </w:tcPr>
          <w:p>
            <w:pPr>
              <w:spacing w:after="0"/>
              <w:rPr>
                <w:sz w:val="13"/>
                <w:szCs w:val="13"/>
                <w:color w:val="auto"/>
              </w:rPr>
            </w:pPr>
          </w:p>
        </w:tc>
        <w:tc>
          <w:tcPr>
            <w:tcW w:w="17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March 29, 2026</w:t>
            </w:r>
          </w:p>
        </w:tc>
        <w:tc>
          <w:tcPr>
            <w:tcW w:w="16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400" w:type="dxa"/>
            <w:vAlign w:val="bottom"/>
            <w:tcBorders>
              <w:top w:val="single" w:sz="8" w:color="auto"/>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March 29, 2026</w:t>
            </w:r>
          </w:p>
        </w:tc>
        <w:tc>
          <w:tcPr>
            <w:tcW w:w="1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400" w:type="dxa"/>
            <w:vAlign w:val="bottom"/>
            <w:tcBorders>
              <w:top w:val="single" w:sz="8" w:color="auto"/>
              <w:bottom w:val="single" w:sz="8" w:color="auto"/>
            </w:tcBorders>
          </w:tcPr>
          <w:p>
            <w:pPr>
              <w:jc w:val="right"/>
              <w:ind w:right="268"/>
              <w:spacing w:after="0" w:line="155" w:lineRule="exact"/>
              <w:rPr>
                <w:sz w:val="20"/>
                <w:szCs w:val="20"/>
                <w:color w:val="auto"/>
              </w:rPr>
            </w:pPr>
            <w:r>
              <w:rPr>
                <w:rFonts w:ascii="Arial" w:cs="Arial" w:eastAsia="Arial" w:hAnsi="Arial"/>
                <w:sz w:val="14"/>
                <w:szCs w:val="14"/>
                <w:b w:val="1"/>
                <w:bCs w:val="1"/>
                <w:color w:val="auto"/>
              </w:rPr>
              <w:t>June 29, 2025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8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ABL Revolver</w:t>
            </w:r>
          </w:p>
        </w:tc>
        <w:tc>
          <w:tcPr>
            <w:tcW w:w="1580" w:type="dxa"/>
            <w:vAlign w:val="bottom"/>
            <w:shd w:val="clear" w:color="auto" w:fill="CFF0FC"/>
          </w:tcPr>
          <w:p>
            <w:pPr>
              <w:jc w:val="center"/>
              <w:spacing w:after="0" w:line="155" w:lineRule="exact"/>
              <w:rPr>
                <w:sz w:val="20"/>
                <w:szCs w:val="20"/>
                <w:color w:val="auto"/>
              </w:rPr>
            </w:pPr>
            <w:r>
              <w:rPr>
                <w:rFonts w:ascii="Arial" w:cs="Arial" w:eastAsia="Arial" w:hAnsi="Arial"/>
                <w:sz w:val="14"/>
                <w:szCs w:val="14"/>
                <w:color w:val="auto"/>
              </w:rPr>
              <w:t>October 2027</w:t>
            </w:r>
          </w:p>
        </w:tc>
        <w:tc>
          <w:tcPr>
            <w:tcW w:w="1860" w:type="dxa"/>
            <w:vAlign w:val="bottom"/>
            <w:gridSpan w:val="2"/>
            <w:shd w:val="clear" w:color="auto" w:fill="CFF0FC"/>
          </w:tcPr>
          <w:p>
            <w:pPr>
              <w:jc w:val="right"/>
              <w:ind w:right="588"/>
              <w:spacing w:after="0" w:line="155" w:lineRule="exact"/>
              <w:rPr>
                <w:sz w:val="20"/>
                <w:szCs w:val="20"/>
                <w:color w:val="auto"/>
              </w:rPr>
            </w:pPr>
            <w:r>
              <w:rPr>
                <w:rFonts w:ascii="Arial" w:cs="Arial" w:eastAsia="Arial" w:hAnsi="Arial"/>
                <w:sz w:val="14"/>
                <w:szCs w:val="14"/>
                <w:color w:val="auto"/>
              </w:rPr>
              <w:t>7.8%</w:t>
            </w: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4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3,200</w:t>
            </w:r>
          </w:p>
        </w:tc>
        <w:tc>
          <w:tcPr>
            <w:tcW w:w="160" w:type="dxa"/>
            <w:vAlign w:val="bottom"/>
            <w:shd w:val="clear" w:color="auto" w:fill="CFF0FC"/>
          </w:tcPr>
          <w:p>
            <w:pPr>
              <w:spacing w:after="0"/>
              <w:rPr>
                <w:sz w:val="13"/>
                <w:szCs w:val="13"/>
                <w:color w:val="auto"/>
              </w:rPr>
            </w:pPr>
          </w:p>
        </w:tc>
        <w:tc>
          <w:tcPr>
            <w:tcW w:w="300" w:type="dxa"/>
            <w:vAlign w:val="bottom"/>
            <w:gridSpan w:val="2"/>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14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11,000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80" w:type="dxa"/>
            <w:vAlign w:val="bottom"/>
          </w:tcPr>
          <w:p>
            <w:pPr>
              <w:spacing w:after="0"/>
              <w:rPr>
                <w:sz w:val="20"/>
                <w:szCs w:val="20"/>
                <w:color w:val="auto"/>
              </w:rPr>
            </w:pPr>
            <w:r>
              <w:rPr>
                <w:rFonts w:ascii="Arial" w:cs="Arial" w:eastAsia="Arial" w:hAnsi="Arial"/>
                <w:sz w:val="14"/>
                <w:szCs w:val="14"/>
                <w:color w:val="auto"/>
              </w:rPr>
              <w:t>2024 Facility</w:t>
            </w:r>
          </w:p>
        </w:tc>
        <w:tc>
          <w:tcPr>
            <w:tcW w:w="1580" w:type="dxa"/>
            <w:vAlign w:val="bottom"/>
          </w:tcPr>
          <w:p>
            <w:pPr>
              <w:jc w:val="center"/>
              <w:spacing w:after="0"/>
              <w:rPr>
                <w:sz w:val="20"/>
                <w:szCs w:val="20"/>
                <w:color w:val="auto"/>
              </w:rPr>
            </w:pPr>
            <w:r>
              <w:rPr>
                <w:rFonts w:ascii="Arial" w:cs="Arial" w:eastAsia="Arial" w:hAnsi="Arial"/>
                <w:sz w:val="14"/>
                <w:szCs w:val="14"/>
                <w:color w:val="auto"/>
              </w:rPr>
              <w:t>October 2027</w:t>
            </w:r>
          </w:p>
        </w:tc>
        <w:tc>
          <w:tcPr>
            <w:tcW w:w="1860" w:type="dxa"/>
            <w:vAlign w:val="bottom"/>
            <w:gridSpan w:val="2"/>
          </w:tcPr>
          <w:p>
            <w:pPr>
              <w:jc w:val="right"/>
              <w:ind w:right="588"/>
              <w:spacing w:after="0"/>
              <w:rPr>
                <w:sz w:val="20"/>
                <w:szCs w:val="20"/>
                <w:color w:val="auto"/>
              </w:rPr>
            </w:pPr>
            <w:r>
              <w:rPr>
                <w:rFonts w:ascii="Arial" w:cs="Arial" w:eastAsia="Arial" w:hAnsi="Arial"/>
                <w:sz w:val="14"/>
                <w:szCs w:val="14"/>
                <w:color w:val="auto"/>
              </w:rPr>
              <w:t>4.6%</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22,000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22,000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80" w:type="dxa"/>
            <w:vAlign w:val="bottom"/>
            <w:shd w:val="clear" w:color="auto" w:fill="CFF0FC"/>
          </w:tcPr>
          <w:p>
            <w:pPr>
              <w:spacing w:after="0"/>
              <w:rPr>
                <w:sz w:val="20"/>
                <w:szCs w:val="20"/>
                <w:color w:val="auto"/>
              </w:rPr>
            </w:pPr>
            <w:r>
              <w:rPr>
                <w:rFonts w:ascii="Arial" w:cs="Arial" w:eastAsia="Arial" w:hAnsi="Arial"/>
                <w:sz w:val="14"/>
                <w:szCs w:val="14"/>
                <w:color w:val="auto"/>
              </w:rPr>
              <w:t>ABL Term Loan</w:t>
            </w:r>
          </w:p>
        </w:tc>
        <w:tc>
          <w:tcPr>
            <w:tcW w:w="158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October 2027</w:t>
            </w:r>
          </w:p>
        </w:tc>
        <w:tc>
          <w:tcPr>
            <w:tcW w:w="1860" w:type="dxa"/>
            <w:vAlign w:val="bottom"/>
            <w:gridSpan w:val="2"/>
            <w:shd w:val="clear" w:color="auto" w:fill="CFF0FC"/>
          </w:tcPr>
          <w:p>
            <w:pPr>
              <w:jc w:val="right"/>
              <w:ind w:right="588"/>
              <w:spacing w:after="0"/>
              <w:rPr>
                <w:sz w:val="20"/>
                <w:szCs w:val="20"/>
                <w:color w:val="auto"/>
              </w:rPr>
            </w:pPr>
            <w:r>
              <w:rPr>
                <w:rFonts w:ascii="Arial" w:cs="Arial" w:eastAsia="Arial" w:hAnsi="Arial"/>
                <w:sz w:val="14"/>
                <w:szCs w:val="14"/>
                <w:color w:val="auto"/>
              </w:rPr>
              <w:t>5.8%</w:t>
            </w: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60,100</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67,000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8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Finance lease obligations</w:t>
            </w:r>
          </w:p>
        </w:tc>
        <w:tc>
          <w:tcPr>
            <w:tcW w:w="1580" w:type="dxa"/>
            <w:vAlign w:val="bottom"/>
            <w:tcBorders>
              <w:bottom w:val="single" w:sz="8" w:color="CFF0FC"/>
            </w:tcBorders>
          </w:tcPr>
          <w:p>
            <w:pPr>
              <w:jc w:val="center"/>
              <w:spacing w:after="0"/>
              <w:rPr>
                <w:sz w:val="20"/>
                <w:szCs w:val="20"/>
                <w:color w:val="auto"/>
              </w:rPr>
            </w:pPr>
            <w:r>
              <w:rPr>
                <w:rFonts w:ascii="Arial" w:cs="Arial" w:eastAsia="Arial" w:hAnsi="Arial"/>
                <w:sz w:val="14"/>
                <w:szCs w:val="14"/>
                <w:color w:val="auto"/>
                <w:w w:val="93"/>
              </w:rPr>
              <w:t>(1)</w:t>
            </w:r>
          </w:p>
        </w:tc>
        <w:tc>
          <w:tcPr>
            <w:tcW w:w="1860" w:type="dxa"/>
            <w:vAlign w:val="bottom"/>
            <w:tcBorders>
              <w:bottom w:val="single" w:sz="8" w:color="CFF0FC"/>
            </w:tcBorders>
            <w:gridSpan w:val="2"/>
          </w:tcPr>
          <w:p>
            <w:pPr>
              <w:jc w:val="right"/>
              <w:ind w:right="588"/>
              <w:spacing w:after="0"/>
              <w:rPr>
                <w:sz w:val="20"/>
                <w:szCs w:val="20"/>
                <w:color w:val="auto"/>
              </w:rPr>
            </w:pPr>
            <w:r>
              <w:rPr>
                <w:rFonts w:ascii="Arial" w:cs="Arial" w:eastAsia="Arial" w:hAnsi="Arial"/>
                <w:sz w:val="14"/>
                <w:szCs w:val="14"/>
                <w:color w:val="auto"/>
              </w:rPr>
              <w:t>4.9%</w:t>
            </w:r>
          </w:p>
        </w:tc>
        <w:tc>
          <w:tcPr>
            <w:tcW w:w="16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9,639</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8,008</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08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Total debt</w:t>
            </w:r>
          </w:p>
        </w:tc>
        <w:tc>
          <w:tcPr>
            <w:tcW w:w="15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7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94,939</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108,008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80" w:type="dxa"/>
            <w:vAlign w:val="bottom"/>
          </w:tcPr>
          <w:p>
            <w:pPr>
              <w:spacing w:after="0"/>
              <w:rPr>
                <w:sz w:val="20"/>
                <w:szCs w:val="20"/>
                <w:color w:val="auto"/>
              </w:rPr>
            </w:pPr>
            <w:r>
              <w:rPr>
                <w:rFonts w:ascii="Arial" w:cs="Arial" w:eastAsia="Arial" w:hAnsi="Arial"/>
                <w:sz w:val="14"/>
                <w:szCs w:val="14"/>
                <w:color w:val="auto"/>
              </w:rPr>
              <w:t>Current portion of ABL Term Loan</w:t>
            </w: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4"/>
                <w:szCs w:val="14"/>
                <w:color w:val="auto"/>
              </w:rPr>
              <w:t>(9,200)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4"/>
                <w:szCs w:val="14"/>
                <w:color w:val="auto"/>
              </w:rPr>
              <w:t>(9,200)</w:t>
            </w:r>
          </w:p>
        </w:tc>
        <w:tc>
          <w:tcPr>
            <w:tcW w:w="0" w:type="dxa"/>
            <w:vAlign w:val="bottom"/>
          </w:tcPr>
          <w:p>
            <w:pPr>
              <w:spacing w:after="0"/>
              <w:rPr>
                <w:sz w:val="1"/>
                <w:szCs w:val="1"/>
                <w:color w:val="auto"/>
              </w:rPr>
            </w:pPr>
          </w:p>
        </w:tc>
      </w:tr>
      <w:tr>
        <w:trPr>
          <w:trHeight w:val="162"/>
        </w:trPr>
        <w:tc>
          <w:tcPr>
            <w:tcW w:w="4080" w:type="dxa"/>
            <w:vAlign w:val="bottom"/>
            <w:shd w:val="clear" w:color="auto" w:fill="CFF0FC"/>
          </w:tcPr>
          <w:p>
            <w:pPr>
              <w:spacing w:after="0"/>
              <w:rPr>
                <w:sz w:val="20"/>
                <w:szCs w:val="20"/>
                <w:color w:val="auto"/>
              </w:rPr>
            </w:pPr>
            <w:r>
              <w:rPr>
                <w:rFonts w:ascii="Arial" w:cs="Arial" w:eastAsia="Arial" w:hAnsi="Arial"/>
                <w:sz w:val="14"/>
                <w:szCs w:val="14"/>
                <w:color w:val="auto"/>
              </w:rPr>
              <w:t>Current portion of finance lease obligations</w:t>
            </w:r>
          </w:p>
        </w:tc>
        <w:tc>
          <w:tcPr>
            <w:tcW w:w="1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(3,414)</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5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(2,959)</w:t>
            </w:r>
          </w:p>
        </w:tc>
        <w:tc>
          <w:tcPr>
            <w:tcW w:w="0" w:type="dxa"/>
            <w:vAlign w:val="bottom"/>
          </w:tcPr>
          <w:p>
            <w:pPr>
              <w:spacing w:after="0"/>
              <w:rPr>
                <w:sz w:val="1"/>
                <w:szCs w:val="1"/>
                <w:color w:val="auto"/>
              </w:rPr>
            </w:pPr>
          </w:p>
        </w:tc>
      </w:tr>
      <w:tr>
        <w:trPr>
          <w:trHeight w:val="162"/>
        </w:trPr>
        <w:tc>
          <w:tcPr>
            <w:tcW w:w="4080" w:type="dxa"/>
            <w:vAlign w:val="bottom"/>
          </w:tcPr>
          <w:p>
            <w:pPr>
              <w:spacing w:after="0"/>
              <w:rPr>
                <w:sz w:val="20"/>
                <w:szCs w:val="20"/>
                <w:color w:val="auto"/>
              </w:rPr>
            </w:pPr>
            <w:r>
              <w:rPr>
                <w:rFonts w:ascii="Arial" w:cs="Arial" w:eastAsia="Arial" w:hAnsi="Arial"/>
                <w:sz w:val="14"/>
                <w:szCs w:val="14"/>
                <w:color w:val="auto"/>
              </w:rPr>
              <w:t>Unamortized debt issuance costs</w:t>
            </w: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195"/>
        </w:trPr>
        <w:tc>
          <w:tcPr>
            <w:tcW w:w="408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Total long-term debt</w:t>
            </w:r>
          </w:p>
        </w:tc>
        <w:tc>
          <w:tcPr>
            <w:tcW w:w="15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7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82,242</w:t>
            </w: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95,727</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-556895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-556895</wp:posOffset>
            </wp:positionV>
            <wp:extent cx="774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-24765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-8255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3" w:lineRule="exact"/>
        <w:rPr>
          <w:sz w:val="20"/>
          <w:szCs w:val="20"/>
          <w:color w:val="auto"/>
        </w:rPr>
      </w:pPr>
    </w:p>
    <w:p>
      <w:pPr>
        <w:ind w:left="5580" w:right="4360" w:hanging="5572"/>
        <w:spacing w:after="0" w:line="423" w:lineRule="auto"/>
        <w:tabs>
          <w:tab w:leader="none" w:pos="513" w:val="left"/>
        </w:tabs>
        <w:numPr>
          <w:ilvl w:val="0"/>
          <w:numId w:val="4"/>
        </w:numPr>
        <w:rPr>
          <w:rFonts w:ascii="Arial" w:cs="Arial" w:eastAsia="Arial" w:hAnsi="Arial"/>
          <w:sz w:val="14"/>
          <w:szCs w:val="14"/>
          <w:color w:val="auto"/>
        </w:rPr>
      </w:pPr>
      <w:r>
        <w:rPr>
          <w:rFonts w:ascii="Arial" w:cs="Arial" w:eastAsia="Arial" w:hAnsi="Arial"/>
          <w:sz w:val="14"/>
          <w:szCs w:val="14"/>
          <w:color w:val="auto"/>
        </w:rPr>
        <w:t>Scheduled maturity dates for finance lease obligations range from November 2026 to October 2032.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635635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4"/>
          <w:szCs w:val="14"/>
          <w:b w:val="1"/>
          <w:bCs w:val="1"/>
          <w:color w:val="auto"/>
        </w:rPr>
        <w:t>Unifi,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27"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ABL Facility and Amendments</w:t>
      </w:r>
    </w:p>
    <w:p>
      <w:pPr>
        <w:spacing w:after="0" w:line="107" w:lineRule="exact"/>
        <w:rPr>
          <w:sz w:val="20"/>
          <w:szCs w:val="20"/>
          <w:color w:val="auto"/>
        </w:rPr>
      </w:pPr>
    </w:p>
    <w:p>
      <w:pPr>
        <w:jc w:val="both"/>
        <w:spacing w:after="0" w:line="246" w:lineRule="auto"/>
        <w:rPr>
          <w:sz w:val="20"/>
          <w:szCs w:val="20"/>
          <w:color w:val="auto"/>
        </w:rPr>
      </w:pPr>
      <w:r>
        <w:rPr>
          <w:rFonts w:ascii="Arial" w:cs="Arial" w:eastAsia="Arial" w:hAnsi="Arial"/>
          <w:sz w:val="14"/>
          <w:szCs w:val="14"/>
          <w:color w:val="auto"/>
        </w:rPr>
        <w:t>On September 5, 2024, UNIFI, Inc. and certain of its subsidiaries entered into a First Amendment to the 2022 Credit Agreement (the “First Amendment”) with a syndicate of lenders. The First Amendment primarily (i) permits the sale of a Company-owned real estate asset (consisting of an industrial warehouse building and land acreage) located in Yadkinville, North Carolina with application of the net proceeds to reduce the outstanding ABL Revolver balance, in lieu of the prescribed mandatory prepayment to the ABL Term Loan; (ii) reduces the Maximum Revolver Amount from $115,000 to $80,000; (iii) modifies the definition of the Trigger Level as of any date of determination to the greater of (a) $16,500 and (b) 10% of the sum of (i) the Maximum Revolver Amount plus (ii) the outstanding principal amount of the ABL Term Loan on such date of determination; (iv) increases the range of the Applicable Margin on (a) SOFR-based loans to a new range of 1.50% to 2.00% and (b) Base Rate-based loans to a new range of 0.50% to 1.00%, with such new ranges of Applicable Margin rates becoming immediately effective and continuing until the Company achieves a Fixed Charge Coverage Ratio of 1.05 to 1.00 or better; (v) for a Term Loan Reset, establishes an additional requirement to obtain lender approval; and (vi) modifies certain terms and conditions of the 2022 Credit Agreement including, but not limited to, Swing Loans, Letter of Credit sublimits, and costs related to normal course collateral valuations for the ABL Facility.</w:t>
      </w:r>
    </w:p>
    <w:p>
      <w:pPr>
        <w:spacing w:after="0" w:line="189"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On October 25, 2024, UNIFI entered into a new credit agreement with Wells Fargo Bank, National Association for a $25,000 revolving credit facility (the “2024 Facility”). The maturity date of the 2024 Facility is the earlier of (i) October 28, 2027 and (ii) the termination or refinancing of the 2022 Credit Agreement. The 2024 Facility is deemed unsecured financing for UNIFI, but is collateralized by certain assets pledged by related party Kenneth G. Langone, one of the members of UNIFI's Board of Directors. Borrowings under the 2024 Facility bear interest at a rate of SOFR plus 0.90%. The 2024 Facility contains no additional financial covenants beyond those already in effect for the 2022 Credit Agreement and is subject to a monthly unused line fee of 0.25% on available borrowing capacity. On January 2, 2025, UNIFI borrowed $22,000 against the 2024 Facility and used the proceeds to reduce the outstanding ABL Revolver balance. There was no impact to debt principal from these transactions.</w:t>
      </w:r>
    </w:p>
    <w:p>
      <w:pPr>
        <w:spacing w:after="0" w:line="128"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On April 10, 2025, UNIFI entered into a Second Amendment to the 2022 Credit Agreement (the “Second Amendment”). The Second Amendment primarily (i) permits the Company to enter into the purchase agreement related to, and consummate the sale of, the Company's Madison, North Carolina property, (ii) permits the Company to allocate a portion of the net proceeds from the sale to repay outstanding revolving loans under the 2022 Credit Agreement, after the application of the greater of $25,000 or 50% of such net proceeds toward outstanding term loans, and (iii) requires the consent of all lenders, rather than the Required Lenders (as defined in the 2022 Credit Agreement), in order to reset the maximum amount of the term loans available under the 2022 Credit Agreement.</w:t>
      </w: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Income Taxes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The provision for income taxes and effective tax rate were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20" w:type="dxa"/>
            <w:vAlign w:val="bottom"/>
            <w:gridSpan w:val="4"/>
          </w:tcPr>
          <w:p>
            <w:pPr>
              <w:jc w:val="right"/>
              <w:ind w:right="428"/>
              <w:spacing w:after="0"/>
              <w:rPr>
                <w:sz w:val="20"/>
                <w:szCs w:val="20"/>
                <w:color w:val="auto"/>
              </w:rPr>
            </w:pPr>
            <w:r>
              <w:rPr>
                <w:rFonts w:ascii="Arial" w:cs="Arial" w:eastAsia="Arial" w:hAnsi="Arial"/>
                <w:sz w:val="14"/>
                <w:szCs w:val="14"/>
                <w:b w:val="1"/>
                <w:bCs w:val="1"/>
                <w:color w:val="auto"/>
              </w:rPr>
              <w:t>For the Three Months Ended</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50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For the Nine Months Ended</w:t>
            </w:r>
          </w:p>
        </w:tc>
      </w:tr>
      <w:tr>
        <w:trPr>
          <w:trHeight w:val="155"/>
        </w:trPr>
        <w:tc>
          <w:tcPr>
            <w:tcW w:w="376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380" w:type="dxa"/>
            <w:vAlign w:val="bottom"/>
            <w:tcBorders>
              <w:top w:val="single" w:sz="8" w:color="auto"/>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March 29, 2026</w:t>
            </w:r>
          </w:p>
        </w:tc>
        <w:tc>
          <w:tcPr>
            <w:tcW w:w="2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March 30, 2025</w:t>
            </w:r>
          </w:p>
        </w:tc>
        <w:tc>
          <w:tcPr>
            <w:tcW w:w="260" w:type="dxa"/>
            <w:vAlign w:val="bottom"/>
            <w:tcBorders>
              <w:top w:val="single" w:sz="8" w:color="auto"/>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400" w:type="dxa"/>
            <w:vAlign w:val="bottom"/>
            <w:tcBorders>
              <w:top w:val="single" w:sz="8" w:color="auto"/>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March 29, 2026</w:t>
            </w:r>
          </w:p>
        </w:tc>
        <w:tc>
          <w:tcPr>
            <w:tcW w:w="34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400" w:type="dxa"/>
            <w:vAlign w:val="bottom"/>
            <w:tcBorders>
              <w:top w:val="single" w:sz="8" w:color="auto"/>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March 30, 2025</w:t>
            </w:r>
          </w:p>
        </w:tc>
        <w:tc>
          <w:tcPr>
            <w:tcW w:w="180" w:type="dxa"/>
            <w:vAlign w:val="bottom"/>
          </w:tcPr>
          <w:p>
            <w:pPr>
              <w:spacing w:after="0"/>
              <w:rPr>
                <w:sz w:val="13"/>
                <w:szCs w:val="13"/>
                <w:color w:val="auto"/>
              </w:rPr>
            </w:pPr>
          </w:p>
        </w:tc>
      </w:tr>
      <w:tr>
        <w:trPr>
          <w:trHeight w:val="155"/>
        </w:trPr>
        <w:tc>
          <w:tcPr>
            <w:tcW w:w="376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Provision for income taxes</w:t>
            </w:r>
          </w:p>
        </w:tc>
        <w:tc>
          <w:tcPr>
            <w:tcW w:w="180" w:type="dxa"/>
            <w:vAlign w:val="bottom"/>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836</w:t>
            </w:r>
          </w:p>
        </w:tc>
        <w:tc>
          <w:tcPr>
            <w:tcW w:w="26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right"/>
              <w:ind w:right="1148"/>
              <w:spacing w:after="0" w:line="155" w:lineRule="exact"/>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499</w:t>
            </w:r>
          </w:p>
        </w:tc>
        <w:tc>
          <w:tcPr>
            <w:tcW w:w="34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4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1,984</w:t>
            </w:r>
          </w:p>
        </w:tc>
        <w:tc>
          <w:tcPr>
            <w:tcW w:w="34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4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4,021</w:t>
            </w:r>
          </w:p>
        </w:tc>
        <w:tc>
          <w:tcPr>
            <w:tcW w:w="180" w:type="dxa"/>
            <w:vAlign w:val="bottom"/>
            <w:shd w:val="clear" w:color="auto" w:fill="CFF0FC"/>
          </w:tcPr>
          <w:p>
            <w:pPr>
              <w:spacing w:after="0"/>
              <w:rPr>
                <w:sz w:val="13"/>
                <w:szCs w:val="13"/>
                <w:color w:val="auto"/>
              </w:rPr>
            </w:pPr>
          </w:p>
        </w:tc>
      </w:tr>
      <w:tr>
        <w:trPr>
          <w:trHeight w:val="190"/>
        </w:trPr>
        <w:tc>
          <w:tcPr>
            <w:tcW w:w="3760" w:type="dxa"/>
            <w:vAlign w:val="bottom"/>
          </w:tcPr>
          <w:p>
            <w:pPr>
              <w:spacing w:after="0"/>
              <w:rPr>
                <w:sz w:val="20"/>
                <w:szCs w:val="20"/>
                <w:color w:val="auto"/>
              </w:rPr>
            </w:pPr>
            <w:r>
              <w:rPr>
                <w:rFonts w:ascii="Arial" w:cs="Arial" w:eastAsia="Arial" w:hAnsi="Arial"/>
                <w:sz w:val="14"/>
                <w:szCs w:val="14"/>
                <w:color w:val="auto"/>
              </w:rPr>
              <w:t>Effective tax rate</w:t>
            </w:r>
          </w:p>
        </w:tc>
        <w:tc>
          <w:tcPr>
            <w:tcW w:w="180" w:type="dxa"/>
            <w:vAlign w:val="bottom"/>
          </w:tcPr>
          <w:p>
            <w:pPr>
              <w:spacing w:after="0"/>
              <w:rPr>
                <w:sz w:val="16"/>
                <w:szCs w:val="16"/>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4"/>
                <w:szCs w:val="14"/>
                <w:color w:val="auto"/>
              </w:rPr>
              <w:t>(56.9)%</w:t>
            </w: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0" w:type="dxa"/>
            <w:vAlign w:val="bottom"/>
            <w:gridSpan w:val="2"/>
          </w:tcPr>
          <w:p>
            <w:pPr>
              <w:spacing w:after="0"/>
              <w:rPr>
                <w:sz w:val="20"/>
                <w:szCs w:val="20"/>
                <w:color w:val="auto"/>
              </w:rPr>
            </w:pPr>
            <w:r>
              <w:rPr>
                <w:rFonts w:ascii="Arial" w:cs="Arial" w:eastAsia="Arial" w:hAnsi="Arial"/>
                <w:sz w:val="14"/>
                <w:szCs w:val="14"/>
                <w:color w:val="auto"/>
              </w:rPr>
              <w:t>(3.1)%</w:t>
            </w:r>
          </w:p>
        </w:tc>
        <w:tc>
          <w:tcPr>
            <w:tcW w:w="180" w:type="dxa"/>
            <w:vAlign w:val="bottom"/>
          </w:tcPr>
          <w:p>
            <w:pPr>
              <w:spacing w:after="0"/>
              <w:rPr>
                <w:sz w:val="16"/>
                <w:szCs w:val="16"/>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4"/>
                <w:szCs w:val="14"/>
                <w:color w:val="auto"/>
              </w:rPr>
              <w:t>(9.3)%</w:t>
            </w:r>
          </w:p>
        </w:tc>
        <w:tc>
          <w:tcPr>
            <w:tcW w:w="180" w:type="dxa"/>
            <w:vAlign w:val="bottom"/>
          </w:tcPr>
          <w:p>
            <w:pPr>
              <w:spacing w:after="0"/>
              <w:rPr>
                <w:sz w:val="16"/>
                <w:szCs w:val="16"/>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4"/>
                <w:szCs w:val="14"/>
                <w:color w:val="auto"/>
              </w:rPr>
              <w:t>(12.6)%</w:t>
            </w:r>
          </w:p>
        </w:tc>
      </w:tr>
    </w:tbl>
    <w:p>
      <w:pPr>
        <w:spacing w:after="0" w:line="18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Income Tax Expense</w:t>
      </w:r>
    </w:p>
    <w:p>
      <w:pPr>
        <w:spacing w:after="0" w:line="107" w:lineRule="exact"/>
        <w:rPr>
          <w:sz w:val="20"/>
          <w:szCs w:val="20"/>
          <w:color w:val="auto"/>
        </w:rPr>
      </w:pPr>
    </w:p>
    <w:p>
      <w:pPr>
        <w:jc w:val="both"/>
        <w:ind w:right="20"/>
        <w:spacing w:after="0" w:line="285" w:lineRule="auto"/>
        <w:rPr>
          <w:sz w:val="20"/>
          <w:szCs w:val="20"/>
          <w:color w:val="auto"/>
        </w:rPr>
      </w:pPr>
      <w:r>
        <w:rPr>
          <w:rFonts w:ascii="Arial" w:cs="Arial" w:eastAsia="Arial" w:hAnsi="Arial"/>
          <w:sz w:val="14"/>
          <w:szCs w:val="14"/>
          <w:color w:val="auto"/>
        </w:rPr>
        <w:t>UNIFI’s provision for income taxes for the nine months ended March 29, 2026 and March 30, 2025 was calculated by applying the estimated annual effective tax rate to year-to-date pre-tax book income and adjusting for discrete items that occurred during the period.</w:t>
      </w:r>
    </w:p>
    <w:p>
      <w:pPr>
        <w:spacing w:after="0" w:line="158"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The effective tax rate for the three and nine months ended March 29, 2026 and March 30, 2025 varied from the U.S. federal statutory rate primarily due to the U.S. generated losses for which UNIFI does not expect to realize a future tax benefit.</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On July 4, 2025, the U.S. government enacted The One Big Beautiful Bill Act of 2025 (the “Act”), making significant changes to the U.S. corporate income tax system. Based on current analysis of the Act, UNIFI does not expect these tax law changes to have a material impact on its financial statements given the current valuation allowance; however, UNIFI will continue to evaluate their impact as further information becomes available. UNIFI has reflected the impact of the enacted provisions in the three and nine months ended March 29, 2026.</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Unrecognized Tax Benefits</w:t>
      </w:r>
    </w:p>
    <w:p>
      <w:pPr>
        <w:spacing w:after="0" w:line="134" w:lineRule="exact"/>
        <w:rPr>
          <w:sz w:val="20"/>
          <w:szCs w:val="20"/>
          <w:color w:val="auto"/>
        </w:rPr>
      </w:pPr>
    </w:p>
    <w:p>
      <w:pPr>
        <w:jc w:val="both"/>
        <w:spacing w:after="0" w:line="325" w:lineRule="auto"/>
        <w:rPr>
          <w:sz w:val="20"/>
          <w:szCs w:val="20"/>
          <w:color w:val="auto"/>
        </w:rPr>
      </w:pPr>
      <w:r>
        <w:rPr>
          <w:rFonts w:ascii="Arial" w:cs="Arial" w:eastAsia="Arial" w:hAnsi="Arial"/>
          <w:sz w:val="14"/>
          <w:szCs w:val="14"/>
          <w:color w:val="auto"/>
        </w:rPr>
        <w:t>UNIFI regularly assesses the outcomes of both completed and ongoing examinations to ensure that its provision for income taxes is sufficient. Certain returns that remain open to examination have utilized carryforward tax attributes generated in prior tax years, including net operating losses, which could potentially be revised upon examination.</w:t>
      </w: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Shareholders’ Equity</w:t>
      </w:r>
    </w:p>
    <w:p>
      <w:pPr>
        <w:spacing w:after="0" w:line="109"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On October 31, 2018, UNIFI announced that the Company's Board of Directors approved a share repurchase program (the “2018 SRP”) under which UNIFI is authorized to acquire up to $50,000 of its common stock. The share repurchase authorization is discretionary and has no expiration date. No shares have been repurchased in fiscal 2025 and 2026 and $38,859 remains available for repurchase.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4"/>
          <w:szCs w:val="14"/>
          <w:b w:val="1"/>
          <w:bCs w:val="1"/>
          <w:color w:val="auto"/>
        </w:rPr>
        <w:t>Unifi,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Stock-Based Compensation</w:t>
      </w:r>
    </w:p>
    <w:p>
      <w:pPr>
        <w:spacing w:after="0" w:line="109"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On October 28, 2025, UNIFI's shareholders approved a Second Amendment (the “Second Amendment”) to the Unifi, Inc. Second Amended and Restated 2013 Incentive Compensation Plan (the “2020 Plan”). The 2020 Plan set the initial number of shares available for future issuance (the “share reserve”) pursuant to awards granted under the 2020 Plan to 850. In October 2023, the 2020 Plan was amended to increase the share reserve by 1,100 shares and the Second Amendment added an additional 1,240 shares to the share reserve. No additional awards can be granted under prior plans; however, awards outstanding under a respective prior plan remain subject to that plan’s provisions.</w:t>
      </w: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Earnings Per Share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The components of the calculation of earnings per share (“EPS”) are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20" w:type="dxa"/>
            <w:vAlign w:val="bottom"/>
            <w:gridSpan w:val="5"/>
          </w:tcPr>
          <w:p>
            <w:pPr>
              <w:ind w:left="520"/>
              <w:spacing w:after="0"/>
              <w:rPr>
                <w:sz w:val="20"/>
                <w:szCs w:val="20"/>
                <w:color w:val="auto"/>
              </w:rPr>
            </w:pPr>
            <w:r>
              <w:rPr>
                <w:rFonts w:ascii="Arial" w:cs="Arial" w:eastAsia="Arial" w:hAnsi="Arial"/>
                <w:sz w:val="14"/>
                <w:szCs w:val="14"/>
                <w:b w:val="1"/>
                <w:bCs w:val="1"/>
                <w:color w:val="auto"/>
              </w:rPr>
              <w:t>For the Three Months Ended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00" w:type="dxa"/>
            <w:vAlign w:val="bottom"/>
            <w:gridSpan w:val="5"/>
          </w:tcPr>
          <w:p>
            <w:pPr>
              <w:ind w:left="560"/>
              <w:spacing w:after="0"/>
              <w:rPr>
                <w:sz w:val="20"/>
                <w:szCs w:val="20"/>
                <w:color w:val="auto"/>
              </w:rPr>
            </w:pPr>
            <w:r>
              <w:rPr>
                <w:rFonts w:ascii="Arial" w:cs="Arial" w:eastAsia="Arial" w:hAnsi="Arial"/>
                <w:sz w:val="14"/>
                <w:szCs w:val="14"/>
                <w:b w:val="1"/>
                <w:bCs w:val="1"/>
                <w:color w:val="auto"/>
              </w:rPr>
              <w:t>For the Nine Months Ended</w:t>
            </w:r>
          </w:p>
        </w:tc>
      </w:tr>
      <w:tr>
        <w:trPr>
          <w:trHeight w:val="156"/>
        </w:trPr>
        <w:tc>
          <w:tcPr>
            <w:tcW w:w="4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gridSpan w:val="2"/>
          </w:tcPr>
          <w:p>
            <w:pPr>
              <w:ind w:left="80"/>
              <w:spacing w:after="0" w:line="155" w:lineRule="exact"/>
              <w:rPr>
                <w:sz w:val="20"/>
                <w:szCs w:val="20"/>
                <w:color w:val="auto"/>
              </w:rPr>
            </w:pPr>
            <w:r>
              <w:rPr>
                <w:rFonts w:ascii="Arial" w:cs="Arial" w:eastAsia="Arial" w:hAnsi="Arial"/>
                <w:sz w:val="14"/>
                <w:szCs w:val="14"/>
                <w:b w:val="1"/>
                <w:bCs w:val="1"/>
                <w:color w:val="auto"/>
              </w:rPr>
              <w:t>March 29, 2026</w:t>
            </w:r>
          </w:p>
        </w:tc>
        <w:tc>
          <w:tcPr>
            <w:tcW w:w="1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March 30, 2025</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gridSpan w:val="2"/>
          </w:tcPr>
          <w:p>
            <w:pPr>
              <w:ind w:left="80"/>
              <w:spacing w:after="0" w:line="155" w:lineRule="exact"/>
              <w:rPr>
                <w:sz w:val="20"/>
                <w:szCs w:val="20"/>
                <w:color w:val="auto"/>
              </w:rPr>
            </w:pPr>
            <w:r>
              <w:rPr>
                <w:rFonts w:ascii="Arial" w:cs="Arial" w:eastAsia="Arial" w:hAnsi="Arial"/>
                <w:sz w:val="14"/>
                <w:szCs w:val="14"/>
                <w:b w:val="1"/>
                <w:bCs w:val="1"/>
                <w:color w:val="auto"/>
              </w:rPr>
              <w:t>March 29, 2026</w:t>
            </w:r>
          </w:p>
        </w:tc>
        <w:tc>
          <w:tcPr>
            <w:tcW w:w="16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March 30, 2025</w:t>
            </w:r>
          </w:p>
        </w:tc>
        <w:tc>
          <w:tcPr>
            <w:tcW w:w="120" w:type="dxa"/>
            <w:vAlign w:val="bottom"/>
          </w:tcPr>
          <w:p>
            <w:pPr>
              <w:spacing w:after="0"/>
              <w:rPr>
                <w:sz w:val="13"/>
                <w:szCs w:val="13"/>
                <w:color w:val="auto"/>
              </w:rPr>
            </w:pPr>
          </w:p>
        </w:tc>
      </w:tr>
      <w:tr>
        <w:trPr>
          <w:trHeight w:val="195"/>
        </w:trPr>
        <w:tc>
          <w:tcPr>
            <w:tcW w:w="406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Net loss</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(2,306)</w:t>
            </w:r>
          </w:p>
        </w:tc>
        <w:tc>
          <w:tcPr>
            <w:tcW w:w="2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(16,794)</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(23,369)</w:t>
            </w:r>
          </w:p>
        </w:tc>
        <w:tc>
          <w:tcPr>
            <w:tcW w:w="2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(35,818)</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43"/>
        </w:trPr>
        <w:tc>
          <w:tcPr>
            <w:tcW w:w="4060" w:type="dxa"/>
            <w:vAlign w:val="bottom"/>
          </w:tcPr>
          <w:p>
            <w:pPr>
              <w:spacing w:after="0" w:line="143" w:lineRule="exact"/>
              <w:rPr>
                <w:sz w:val="20"/>
                <w:szCs w:val="20"/>
                <w:color w:val="auto"/>
              </w:rPr>
            </w:pPr>
            <w:r>
              <w:rPr>
                <w:rFonts w:ascii="Arial" w:cs="Arial" w:eastAsia="Arial" w:hAnsi="Arial"/>
                <w:sz w:val="14"/>
                <w:szCs w:val="14"/>
                <w:color w:val="auto"/>
              </w:rPr>
              <w:t>Basic weighted average shares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right"/>
              <w:spacing w:after="0" w:line="143" w:lineRule="exact"/>
              <w:rPr>
                <w:sz w:val="20"/>
                <w:szCs w:val="20"/>
                <w:color w:val="auto"/>
              </w:rPr>
            </w:pPr>
            <w:r>
              <w:rPr>
                <w:rFonts w:ascii="Arial" w:cs="Arial" w:eastAsia="Arial" w:hAnsi="Arial"/>
                <w:sz w:val="14"/>
                <w:szCs w:val="14"/>
                <w:color w:val="auto"/>
              </w:rPr>
              <w:t>18,584</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right"/>
              <w:spacing w:after="0" w:line="143" w:lineRule="exact"/>
              <w:rPr>
                <w:sz w:val="20"/>
                <w:szCs w:val="20"/>
                <w:color w:val="auto"/>
              </w:rPr>
            </w:pPr>
            <w:r>
              <w:rPr>
                <w:rFonts w:ascii="Arial" w:cs="Arial" w:eastAsia="Arial" w:hAnsi="Arial"/>
                <w:sz w:val="14"/>
                <w:szCs w:val="14"/>
                <w:color w:val="auto"/>
              </w:rPr>
              <w:t>18,352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right"/>
              <w:spacing w:after="0" w:line="143" w:lineRule="exact"/>
              <w:rPr>
                <w:sz w:val="20"/>
                <w:szCs w:val="20"/>
                <w:color w:val="auto"/>
              </w:rPr>
            </w:pPr>
            <w:r>
              <w:rPr>
                <w:rFonts w:ascii="Arial" w:cs="Arial" w:eastAsia="Arial" w:hAnsi="Arial"/>
                <w:sz w:val="14"/>
                <w:szCs w:val="14"/>
                <w:color w:val="auto"/>
              </w:rPr>
              <w:t>18,455</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jc w:val="right"/>
              <w:spacing w:after="0" w:line="143" w:lineRule="exact"/>
              <w:rPr>
                <w:sz w:val="20"/>
                <w:szCs w:val="20"/>
                <w:color w:val="auto"/>
              </w:rPr>
            </w:pPr>
            <w:r>
              <w:rPr>
                <w:rFonts w:ascii="Arial" w:cs="Arial" w:eastAsia="Arial" w:hAnsi="Arial"/>
                <w:sz w:val="14"/>
                <w:szCs w:val="14"/>
                <w:color w:val="auto"/>
              </w:rPr>
              <w:t>18,299</w:t>
            </w:r>
          </w:p>
        </w:tc>
        <w:tc>
          <w:tcPr>
            <w:tcW w:w="120" w:type="dxa"/>
            <w:vAlign w:val="bottom"/>
          </w:tcPr>
          <w:p>
            <w:pPr>
              <w:spacing w:after="0"/>
              <w:rPr>
                <w:sz w:val="12"/>
                <w:szCs w:val="12"/>
                <w:color w:val="auto"/>
              </w:rPr>
            </w:pPr>
          </w:p>
        </w:tc>
      </w:tr>
      <w:tr>
        <w:trPr>
          <w:trHeight w:val="162"/>
        </w:trPr>
        <w:tc>
          <w:tcPr>
            <w:tcW w:w="4060" w:type="dxa"/>
            <w:vAlign w:val="bottom"/>
            <w:shd w:val="clear" w:color="auto" w:fill="CFF0FC"/>
          </w:tcPr>
          <w:p>
            <w:pPr>
              <w:spacing w:after="0"/>
              <w:rPr>
                <w:sz w:val="20"/>
                <w:szCs w:val="20"/>
                <w:color w:val="auto"/>
              </w:rPr>
            </w:pPr>
            <w:r>
              <w:rPr>
                <w:rFonts w:ascii="Arial" w:cs="Arial" w:eastAsia="Arial" w:hAnsi="Arial"/>
                <w:sz w:val="14"/>
                <w:szCs w:val="14"/>
                <w:color w:val="auto"/>
              </w:rPr>
              <w:t>Net potential common share equivalents</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4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5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4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r>
      <w:tr>
        <w:trPr>
          <w:trHeight w:val="155"/>
        </w:trPr>
        <w:tc>
          <w:tcPr>
            <w:tcW w:w="4060" w:type="dxa"/>
            <w:vAlign w:val="bottom"/>
            <w:tcBorders>
              <w:top w:val="single" w:sz="8" w:color="CFF0FC"/>
              <w:bottom w:val="single" w:sz="8" w:color="CFF0FC"/>
            </w:tcBorders>
          </w:tcPr>
          <w:p>
            <w:pPr>
              <w:spacing w:after="0" w:line="155" w:lineRule="exact"/>
              <w:rPr>
                <w:sz w:val="20"/>
                <w:szCs w:val="20"/>
                <w:color w:val="auto"/>
              </w:rPr>
            </w:pPr>
            <w:r>
              <w:rPr>
                <w:rFonts w:ascii="Arial" w:cs="Arial" w:eastAsia="Arial" w:hAnsi="Arial"/>
                <w:sz w:val="14"/>
                <w:szCs w:val="14"/>
                <w:color w:val="auto"/>
              </w:rPr>
              <w:t>Diluted weighted average shares</w:t>
            </w:r>
          </w:p>
        </w:tc>
        <w:tc>
          <w:tcPr>
            <w:tcW w:w="120" w:type="dxa"/>
            <w:vAlign w:val="bottom"/>
            <w:tcBorders>
              <w:top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18,584</w:t>
            </w:r>
          </w:p>
        </w:tc>
        <w:tc>
          <w:tcPr>
            <w:tcW w:w="280" w:type="dxa"/>
            <w:vAlign w:val="bottom"/>
            <w:tcBorders>
              <w:top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18,352</w:t>
            </w:r>
          </w:p>
        </w:tc>
        <w:tc>
          <w:tcPr>
            <w:tcW w:w="16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18,455</w:t>
            </w:r>
          </w:p>
        </w:tc>
        <w:tc>
          <w:tcPr>
            <w:tcW w:w="280" w:type="dxa"/>
            <w:vAlign w:val="bottom"/>
            <w:tcBorders>
              <w:top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18,299</w:t>
            </w:r>
          </w:p>
        </w:tc>
        <w:tc>
          <w:tcPr>
            <w:tcW w:w="120" w:type="dxa"/>
            <w:vAlign w:val="bottom"/>
            <w:tcBorders>
              <w:top w:val="single" w:sz="8" w:color="CFF0FC"/>
            </w:tcBorders>
          </w:tcPr>
          <w:p>
            <w:pPr>
              <w:spacing w:after="0"/>
              <w:rPr>
                <w:sz w:val="13"/>
                <w:szCs w:val="13"/>
                <w:color w:val="auto"/>
              </w:rPr>
            </w:pPr>
          </w:p>
        </w:tc>
      </w:tr>
      <w:tr>
        <w:trPr>
          <w:trHeight w:val="20"/>
        </w:trPr>
        <w:tc>
          <w:tcPr>
            <w:tcW w:w="4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3"/>
        </w:trPr>
        <w:tc>
          <w:tcPr>
            <w:tcW w:w="406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Excluded from the calculation of common share equivalents:</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2"/>
        </w:trPr>
        <w:tc>
          <w:tcPr>
            <w:tcW w:w="4060" w:type="dxa"/>
            <w:vAlign w:val="bottom"/>
          </w:tcPr>
          <w:p>
            <w:pPr>
              <w:spacing w:after="0"/>
              <w:rPr>
                <w:sz w:val="20"/>
                <w:szCs w:val="20"/>
                <w:color w:val="auto"/>
              </w:rPr>
            </w:pPr>
            <w:r>
              <w:rPr>
                <w:rFonts w:ascii="Arial" w:cs="Arial" w:eastAsia="Arial" w:hAnsi="Arial"/>
                <w:sz w:val="14"/>
                <w:szCs w:val="14"/>
                <w:color w:val="auto"/>
              </w:rPr>
              <w:t>Anti-dilutive common share equivalents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457</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909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643</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909</w:t>
            </w:r>
          </w:p>
        </w:tc>
        <w:tc>
          <w:tcPr>
            <w:tcW w:w="120" w:type="dxa"/>
            <w:vAlign w:val="bottom"/>
          </w:tcPr>
          <w:p>
            <w:pPr>
              <w:spacing w:after="0"/>
              <w:rPr>
                <w:sz w:val="14"/>
                <w:szCs w:val="14"/>
                <w:color w:val="auto"/>
              </w:rPr>
            </w:pPr>
          </w:p>
        </w:tc>
      </w:tr>
      <w:tr>
        <w:trPr>
          <w:trHeight w:val="162"/>
        </w:trPr>
        <w:tc>
          <w:tcPr>
            <w:tcW w:w="4060" w:type="dxa"/>
            <w:vAlign w:val="bottom"/>
            <w:shd w:val="clear" w:color="auto" w:fill="CFF0FC"/>
          </w:tcPr>
          <w:p>
            <w:pPr>
              <w:spacing w:after="0"/>
              <w:rPr>
                <w:sz w:val="20"/>
                <w:szCs w:val="20"/>
                <w:color w:val="auto"/>
              </w:rPr>
            </w:pPr>
            <w:r>
              <w:rPr>
                <w:rFonts w:ascii="Arial" w:cs="Arial" w:eastAsia="Arial" w:hAnsi="Arial"/>
                <w:sz w:val="14"/>
                <w:szCs w:val="14"/>
                <w:color w:val="auto"/>
              </w:rPr>
              <w:t>Excluded from the calculation of diluted shares:</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53"/>
        </w:trPr>
        <w:tc>
          <w:tcPr>
            <w:tcW w:w="4060" w:type="dxa"/>
            <w:vAlign w:val="bottom"/>
          </w:tcPr>
          <w:p>
            <w:pPr>
              <w:spacing w:after="0" w:line="153" w:lineRule="exact"/>
              <w:rPr>
                <w:sz w:val="20"/>
                <w:szCs w:val="20"/>
                <w:color w:val="auto"/>
              </w:rPr>
            </w:pPr>
            <w:r>
              <w:rPr>
                <w:rFonts w:ascii="Arial" w:cs="Arial" w:eastAsia="Arial" w:hAnsi="Arial"/>
                <w:sz w:val="14"/>
                <w:szCs w:val="14"/>
                <w:color w:val="auto"/>
              </w:rPr>
              <w:t>Unvested stock options that vest upon achievement of certain</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90"/>
        </w:trPr>
        <w:tc>
          <w:tcPr>
            <w:tcW w:w="4060" w:type="dxa"/>
            <w:vAlign w:val="bottom"/>
          </w:tcPr>
          <w:p>
            <w:pPr>
              <w:spacing w:after="0"/>
              <w:rPr>
                <w:sz w:val="20"/>
                <w:szCs w:val="20"/>
                <w:color w:val="auto"/>
              </w:rPr>
            </w:pPr>
            <w:r>
              <w:rPr>
                <w:rFonts w:ascii="Arial" w:cs="Arial" w:eastAsia="Arial" w:hAnsi="Arial"/>
                <w:sz w:val="14"/>
                <w:szCs w:val="14"/>
                <w:color w:val="auto"/>
              </w:rPr>
              <w:t>market conditions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333</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333</w:t>
            </w:r>
          </w:p>
        </w:tc>
        <w:tc>
          <w:tcPr>
            <w:tcW w:w="1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-894080</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-876935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-894080</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-876935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-894080</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-876935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-894080</wp:posOffset>
            </wp:positionV>
            <wp:extent cx="7747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-876935</wp:posOffset>
            </wp:positionV>
            <wp:extent cx="774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-662940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-662940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-662940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-662940</wp:posOffset>
            </wp:positionV>
            <wp:extent cx="774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14"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The calculation of EPS is based on the weighted average number of Unifi, Inc.’s common shares outstanding for the applicable period. The calculation of diluted EPS presents the effect of all potential dilutive common shares that were outstanding during the respective period, unless the effect of doing so is anti-dilutive.</w:t>
      </w: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Commitments and Contingencies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Collective Bargaining Agreements</w:t>
      </w:r>
    </w:p>
    <w:p>
      <w:pPr>
        <w:spacing w:after="0" w:line="107"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While employees of UNIFI’s Brazilian operations are unionized, none of the labor force employed by UNIFI’s domestic or other foreign subsidiaries is currently covered by a collective bargaining agreement.</w:t>
      </w: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Related Party Transactions</w:t>
      </w:r>
    </w:p>
    <w:p>
      <w:pPr>
        <w:spacing w:after="0" w:line="123"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Related party balances and transactions are not material to the condensed consolidated financial statements and, accordingly, are not presented separately from other financial statement captions.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There were no related party receivables as of March 29, 2026 and June 29, 2025.</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Related party payables for Salem Leasing Corporation consisted of the following:</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228"/>
              <w:spacing w:after="0"/>
              <w:rPr>
                <w:sz w:val="20"/>
                <w:szCs w:val="20"/>
                <w:color w:val="auto"/>
              </w:rPr>
            </w:pPr>
            <w:r>
              <w:rPr>
                <w:rFonts w:ascii="Arial" w:cs="Arial" w:eastAsia="Arial" w:hAnsi="Arial"/>
                <w:sz w:val="14"/>
                <w:szCs w:val="14"/>
                <w:b w:val="1"/>
                <w:bCs w:val="1"/>
                <w:color w:val="auto"/>
              </w:rPr>
              <w:t>March 29, 2026</w:t>
            </w:r>
          </w:p>
        </w:tc>
        <w:tc>
          <w:tcPr>
            <w:tcW w:w="300" w:type="dxa"/>
            <w:vAlign w:val="bottom"/>
            <w:gridSpan w:val="2"/>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June 29, 2025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2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Accounts payable</w:t>
            </w:r>
          </w:p>
        </w:tc>
        <w:tc>
          <w:tcPr>
            <w:tcW w:w="120" w:type="dxa"/>
            <w:vAlign w:val="bottom"/>
            <w:shd w:val="clear" w:color="auto" w:fill="CFF0FC"/>
          </w:tcPr>
          <w:p>
            <w:pPr>
              <w:spacing w:after="0"/>
              <w:rPr>
                <w:sz w:val="13"/>
                <w:szCs w:val="13"/>
                <w:color w:val="auto"/>
              </w:rPr>
            </w:pPr>
          </w:p>
        </w:tc>
        <w:tc>
          <w:tcPr>
            <w:tcW w:w="33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128"/>
              <w:spacing w:after="0" w:line="155"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260"/>
              <w:spacing w:after="0" w:line="155" w:lineRule="exact"/>
              <w:rPr>
                <w:sz w:val="20"/>
                <w:szCs w:val="20"/>
                <w:color w:val="auto"/>
              </w:rPr>
            </w:pPr>
            <w:r>
              <w:rPr>
                <w:rFonts w:ascii="Arial" w:cs="Arial" w:eastAsia="Arial" w:hAnsi="Arial"/>
                <w:sz w:val="14"/>
                <w:szCs w:val="14"/>
                <w:color w:val="auto"/>
              </w:rPr>
              <w:t>369</w:t>
            </w:r>
          </w:p>
        </w:tc>
        <w:tc>
          <w:tcPr>
            <w:tcW w:w="4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0" w:type="dxa"/>
            <w:vAlign w:val="bottom"/>
            <w:shd w:val="clear" w:color="auto" w:fill="CFF0FC"/>
          </w:tcPr>
          <w:p>
            <w:pPr>
              <w:spacing w:after="0"/>
              <w:rPr>
                <w:sz w:val="13"/>
                <w:szCs w:val="13"/>
                <w:color w:val="auto"/>
              </w:rPr>
            </w:pPr>
          </w:p>
        </w:tc>
        <w:tc>
          <w:tcPr>
            <w:tcW w:w="1420" w:type="dxa"/>
            <w:vAlign w:val="bottom"/>
            <w:gridSpan w:val="3"/>
            <w:shd w:val="clear" w:color="auto" w:fill="CFF0FC"/>
          </w:tcPr>
          <w:p>
            <w:pPr>
              <w:jc w:val="right"/>
              <w:ind w:right="100"/>
              <w:spacing w:after="0" w:line="155" w:lineRule="exact"/>
              <w:rPr>
                <w:sz w:val="20"/>
                <w:szCs w:val="20"/>
                <w:color w:val="auto"/>
              </w:rPr>
            </w:pPr>
            <w:r>
              <w:rPr>
                <w:rFonts w:ascii="Arial" w:cs="Arial" w:eastAsia="Arial" w:hAnsi="Arial"/>
                <w:sz w:val="14"/>
                <w:szCs w:val="14"/>
                <w:color w:val="auto"/>
              </w:rPr>
              <w:t>293</w:t>
            </w:r>
          </w:p>
        </w:tc>
        <w:tc>
          <w:tcPr>
            <w:tcW w:w="0" w:type="dxa"/>
            <w:vAlign w:val="bottom"/>
          </w:tcPr>
          <w:p>
            <w:pPr>
              <w:spacing w:after="0"/>
              <w:rPr>
                <w:sz w:val="1"/>
                <w:szCs w:val="1"/>
                <w:color w:val="auto"/>
              </w:rPr>
            </w:pPr>
          </w:p>
        </w:tc>
      </w:tr>
      <w:tr>
        <w:trPr>
          <w:trHeight w:val="162"/>
        </w:trPr>
        <w:tc>
          <w:tcPr>
            <w:tcW w:w="4820" w:type="dxa"/>
            <w:vAlign w:val="bottom"/>
            <w:gridSpan w:val="4"/>
          </w:tcPr>
          <w:p>
            <w:pPr>
              <w:spacing w:after="0"/>
              <w:rPr>
                <w:sz w:val="20"/>
                <w:szCs w:val="20"/>
                <w:color w:val="auto"/>
              </w:rPr>
            </w:pPr>
            <w:r>
              <w:rPr>
                <w:rFonts w:ascii="Arial" w:cs="Arial" w:eastAsia="Arial" w:hAnsi="Arial"/>
                <w:sz w:val="14"/>
                <w:szCs w:val="14"/>
                <w:color w:val="auto"/>
              </w:rPr>
              <w:t>Operating lease obligations</w:t>
            </w: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3"/>
          </w:tcPr>
          <w:p>
            <w:pPr>
              <w:jc w:val="right"/>
              <w:ind w:right="100"/>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62"/>
        </w:trPr>
        <w:tc>
          <w:tcPr>
            <w:tcW w:w="4820" w:type="dxa"/>
            <w:vAlign w:val="bottom"/>
            <w:gridSpan w:val="4"/>
            <w:shd w:val="clear" w:color="auto" w:fill="CFF0FC"/>
          </w:tcPr>
          <w:p>
            <w:pPr>
              <w:spacing w:after="0"/>
              <w:rPr>
                <w:sz w:val="20"/>
                <w:szCs w:val="20"/>
                <w:color w:val="auto"/>
              </w:rPr>
            </w:pPr>
            <w:r>
              <w:rPr>
                <w:rFonts w:ascii="Arial" w:cs="Arial" w:eastAsia="Arial" w:hAnsi="Arial"/>
                <w:sz w:val="14"/>
                <w:szCs w:val="14"/>
                <w:color w:val="auto"/>
              </w:rPr>
              <w:t>Finance lease obligations</w:t>
            </w:r>
          </w:p>
        </w:tc>
        <w:tc>
          <w:tcPr>
            <w:tcW w:w="12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5,659</w:t>
            </w:r>
          </w:p>
        </w:tc>
        <w:tc>
          <w:tcPr>
            <w:tcW w:w="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20" w:type="dxa"/>
            <w:vAlign w:val="bottom"/>
            <w:gridSpan w:val="3"/>
            <w:shd w:val="clear" w:color="auto" w:fill="CFF0FC"/>
          </w:tcPr>
          <w:p>
            <w:pPr>
              <w:jc w:val="right"/>
              <w:ind w:right="100"/>
              <w:spacing w:after="0"/>
              <w:rPr>
                <w:sz w:val="20"/>
                <w:szCs w:val="20"/>
                <w:color w:val="auto"/>
              </w:rPr>
            </w:pPr>
            <w:r>
              <w:rPr>
                <w:rFonts w:ascii="Arial" w:cs="Arial" w:eastAsia="Arial" w:hAnsi="Arial"/>
                <w:sz w:val="14"/>
                <w:szCs w:val="14"/>
                <w:color w:val="auto"/>
              </w:rPr>
              <w:t>2,665</w:t>
            </w:r>
          </w:p>
        </w:tc>
        <w:tc>
          <w:tcPr>
            <w:tcW w:w="0" w:type="dxa"/>
            <w:vAlign w:val="bottom"/>
          </w:tcPr>
          <w:p>
            <w:pPr>
              <w:spacing w:after="0"/>
              <w:rPr>
                <w:sz w:val="1"/>
                <w:szCs w:val="1"/>
                <w:color w:val="auto"/>
              </w:rPr>
            </w:pPr>
          </w:p>
        </w:tc>
      </w:tr>
      <w:tr>
        <w:trPr>
          <w:trHeight w:val="155"/>
        </w:trPr>
        <w:tc>
          <w:tcPr>
            <w:tcW w:w="4820" w:type="dxa"/>
            <w:vAlign w:val="bottom"/>
            <w:tcBorders>
              <w:top w:val="single" w:sz="8" w:color="CFF0FC"/>
              <w:bottom w:val="single" w:sz="8" w:color="CFF0FC"/>
            </w:tcBorders>
            <w:gridSpan w:val="4"/>
          </w:tcPr>
          <w:p>
            <w:pPr>
              <w:spacing w:after="0" w:line="155" w:lineRule="exact"/>
              <w:rPr>
                <w:sz w:val="20"/>
                <w:szCs w:val="20"/>
                <w:color w:val="auto"/>
              </w:rPr>
            </w:pPr>
            <w:r>
              <w:rPr>
                <w:rFonts w:ascii="Arial" w:cs="Arial" w:eastAsia="Arial" w:hAnsi="Arial"/>
                <w:sz w:val="14"/>
                <w:szCs w:val="14"/>
                <w:color w:val="auto"/>
              </w:rPr>
              <w:t>Total related party payables</w:t>
            </w:r>
          </w:p>
        </w:tc>
        <w:tc>
          <w:tcPr>
            <w:tcW w:w="120" w:type="dxa"/>
            <w:vAlign w:val="bottom"/>
            <w:tcBorders>
              <w:top w:val="single" w:sz="8" w:color="CFF0FC"/>
            </w:tcBorders>
          </w:tcPr>
          <w:p>
            <w:pPr>
              <w:spacing w:after="0"/>
              <w:rPr>
                <w:sz w:val="13"/>
                <w:szCs w:val="13"/>
                <w:color w:val="auto"/>
              </w:rPr>
            </w:pPr>
          </w:p>
        </w:tc>
        <w:tc>
          <w:tcPr>
            <w:tcW w:w="1280" w:type="dxa"/>
            <w:vAlign w:val="bottom"/>
            <w:tcBorders>
              <w:top w:val="single" w:sz="8" w:color="CFF0FC"/>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1000" w:type="dxa"/>
            <w:vAlign w:val="bottom"/>
            <w:tcBorders>
              <w:top w:val="single" w:sz="8" w:color="CFF0FC"/>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6,028</w:t>
            </w:r>
          </w:p>
        </w:tc>
        <w:tc>
          <w:tcPr>
            <w:tcW w:w="260" w:type="dxa"/>
            <w:vAlign w:val="bottom"/>
            <w:tcBorders>
              <w:top w:val="single" w:sz="8" w:color="CFF0FC"/>
              <w:bottom w:val="single" w:sz="8" w:color="CFF0FC"/>
            </w:tcBorders>
          </w:tcPr>
          <w:p>
            <w:pPr>
              <w:spacing w:after="0"/>
              <w:rPr>
                <w:sz w:val="13"/>
                <w:szCs w:val="13"/>
                <w:color w:val="auto"/>
              </w:rPr>
            </w:pPr>
          </w:p>
        </w:tc>
        <w:tc>
          <w:tcPr>
            <w:tcW w:w="40" w:type="dxa"/>
            <w:vAlign w:val="bottom"/>
            <w:tcBorders>
              <w:top w:val="single" w:sz="8" w:color="CFF0FC"/>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10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3,071</w:t>
            </w:r>
          </w:p>
        </w:tc>
        <w:tc>
          <w:tcPr>
            <w:tcW w:w="100" w:type="dxa"/>
            <w:vAlign w:val="bottom"/>
            <w:tcBorders>
              <w:top w:val="single" w:sz="8" w:color="CFF0FC"/>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20" w:type="dxa"/>
            <w:vAlign w:val="bottom"/>
            <w:gridSpan w:val="4"/>
            <w:vMerge w:val="restart"/>
          </w:tcPr>
          <w:p>
            <w:pPr>
              <w:spacing w:after="0"/>
              <w:rPr>
                <w:sz w:val="20"/>
                <w:szCs w:val="20"/>
                <w:color w:val="auto"/>
              </w:rPr>
            </w:pPr>
            <w:r>
              <w:rPr>
                <w:rFonts w:ascii="Arial" w:cs="Arial" w:eastAsia="Arial" w:hAnsi="Arial"/>
                <w:sz w:val="14"/>
                <w:szCs w:val="14"/>
                <w:color w:val="auto"/>
              </w:rPr>
              <w:t>The following were the Company’s significant related party transactions:</w:t>
            </w: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4820" w:type="dxa"/>
            <w:vAlign w:val="bottom"/>
            <w:gridSpan w:val="4"/>
            <w:vMerge w:val="continue"/>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1220" w:type="dxa"/>
            <w:vAlign w:val="bottom"/>
            <w:vMerge w:val="restart"/>
          </w:tcPr>
          <w:p>
            <w:pPr>
              <w:spacing w:after="0"/>
              <w:rPr>
                <w:sz w:val="20"/>
                <w:szCs w:val="20"/>
                <w:color w:val="auto"/>
              </w:rPr>
            </w:pPr>
            <w:r>
              <w:rPr>
                <w:rFonts w:ascii="Arial" w:cs="Arial" w:eastAsia="Arial" w:hAnsi="Arial"/>
                <w:sz w:val="14"/>
                <w:szCs w:val="14"/>
                <w:b w:val="1"/>
                <w:bCs w:val="1"/>
                <w:color w:val="auto"/>
              </w:rPr>
              <w:t>Affiliated Entity</w:t>
            </w:r>
          </w:p>
        </w:tc>
        <w:tc>
          <w:tcPr>
            <w:tcW w:w="120" w:type="dxa"/>
            <w:vAlign w:val="bottom"/>
            <w:vMerge w:val="restart"/>
          </w:tcPr>
          <w:p>
            <w:pPr>
              <w:spacing w:after="0"/>
              <w:rPr>
                <w:sz w:val="21"/>
                <w:szCs w:val="21"/>
                <w:color w:val="auto"/>
              </w:rPr>
            </w:pPr>
          </w:p>
        </w:tc>
        <w:tc>
          <w:tcPr>
            <w:tcW w:w="3360" w:type="dxa"/>
            <w:vAlign w:val="bottom"/>
            <w:vMerge w:val="restart"/>
          </w:tcPr>
          <w:p>
            <w:pPr>
              <w:spacing w:after="0"/>
              <w:rPr>
                <w:sz w:val="20"/>
                <w:szCs w:val="20"/>
                <w:color w:val="auto"/>
              </w:rPr>
            </w:pPr>
            <w:r>
              <w:rPr>
                <w:rFonts w:ascii="Arial" w:cs="Arial" w:eastAsia="Arial" w:hAnsi="Arial"/>
                <w:sz w:val="14"/>
                <w:szCs w:val="14"/>
                <w:b w:val="1"/>
                <w:bCs w:val="1"/>
                <w:color w:val="auto"/>
              </w:rPr>
              <w:t>Transaction Type</w:t>
            </w:r>
          </w:p>
        </w:tc>
        <w:tc>
          <w:tcPr>
            <w:tcW w:w="120" w:type="dxa"/>
            <w:vAlign w:val="bottom"/>
            <w:vMerge w:val="restart"/>
          </w:tcPr>
          <w:p>
            <w:pPr>
              <w:spacing w:after="0"/>
              <w:rPr>
                <w:sz w:val="21"/>
                <w:szCs w:val="21"/>
                <w:color w:val="auto"/>
              </w:rPr>
            </w:pPr>
          </w:p>
        </w:tc>
        <w:tc>
          <w:tcPr>
            <w:tcW w:w="120" w:type="dxa"/>
            <w:vAlign w:val="bottom"/>
          </w:tcPr>
          <w:p>
            <w:pPr>
              <w:spacing w:after="0"/>
              <w:rPr>
                <w:sz w:val="21"/>
                <w:szCs w:val="21"/>
                <w:color w:val="auto"/>
              </w:rPr>
            </w:pPr>
          </w:p>
        </w:tc>
        <w:tc>
          <w:tcPr>
            <w:tcW w:w="2920" w:type="dxa"/>
            <w:vAlign w:val="bottom"/>
            <w:gridSpan w:val="5"/>
          </w:tcPr>
          <w:p>
            <w:pPr>
              <w:jc w:val="right"/>
              <w:ind w:right="488"/>
              <w:spacing w:after="0"/>
              <w:rPr>
                <w:sz w:val="20"/>
                <w:szCs w:val="20"/>
                <w:color w:val="auto"/>
              </w:rPr>
            </w:pPr>
            <w:r>
              <w:rPr>
                <w:rFonts w:ascii="Arial" w:cs="Arial" w:eastAsia="Arial" w:hAnsi="Arial"/>
                <w:sz w:val="14"/>
                <w:szCs w:val="14"/>
                <w:b w:val="1"/>
                <w:bCs w:val="1"/>
                <w:color w:val="auto"/>
              </w:rPr>
              <w:t>For the Three Months Ended</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20" w:type="dxa"/>
            <w:vAlign w:val="bottom"/>
            <w:gridSpan w:val="8"/>
          </w:tcPr>
          <w:p>
            <w:pPr>
              <w:ind w:left="44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56"/>
        </w:trPr>
        <w:tc>
          <w:tcPr>
            <w:tcW w:w="122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336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March 29, 2026</w:t>
            </w: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gridSpan w:val="2"/>
          </w:tcPr>
          <w:p>
            <w:pPr>
              <w:jc w:val="right"/>
              <w:ind w:right="128"/>
              <w:spacing w:after="0" w:line="155" w:lineRule="exact"/>
              <w:rPr>
                <w:sz w:val="20"/>
                <w:szCs w:val="20"/>
                <w:color w:val="auto"/>
              </w:rPr>
            </w:pPr>
            <w:r>
              <w:rPr>
                <w:rFonts w:ascii="Arial" w:cs="Arial" w:eastAsia="Arial" w:hAnsi="Arial"/>
                <w:sz w:val="14"/>
                <w:szCs w:val="14"/>
                <w:b w:val="1"/>
                <w:bCs w:val="1"/>
                <w:color w:val="auto"/>
              </w:rPr>
              <w:t>March 30, 2025</w:t>
            </w:r>
          </w:p>
        </w:tc>
        <w:tc>
          <w:tcPr>
            <w:tcW w:w="2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gridSpan w:val="2"/>
          </w:tcPr>
          <w:p>
            <w:pPr>
              <w:jc w:val="right"/>
              <w:ind w:right="200"/>
              <w:spacing w:after="0" w:line="155" w:lineRule="exact"/>
              <w:rPr>
                <w:sz w:val="20"/>
                <w:szCs w:val="20"/>
                <w:color w:val="auto"/>
              </w:rPr>
            </w:pPr>
            <w:r>
              <w:rPr>
                <w:rFonts w:ascii="Arial" w:cs="Arial" w:eastAsia="Arial" w:hAnsi="Arial"/>
                <w:sz w:val="14"/>
                <w:szCs w:val="14"/>
                <w:b w:val="1"/>
                <w:bCs w:val="1"/>
                <w:color w:val="auto"/>
              </w:rPr>
              <w:t>March 29, 2026</w:t>
            </w:r>
          </w:p>
        </w:tc>
        <w:tc>
          <w:tcPr>
            <w:tcW w:w="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March 30, 2025</w:t>
            </w:r>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220" w:type="dxa"/>
            <w:vAlign w:val="bottom"/>
            <w:shd w:val="clear" w:color="auto" w:fill="CFF0FC"/>
          </w:tcPr>
          <w:p>
            <w:pPr>
              <w:spacing w:after="0" w:line="147" w:lineRule="exact"/>
              <w:rPr>
                <w:sz w:val="20"/>
                <w:szCs w:val="20"/>
                <w:color w:val="auto"/>
              </w:rPr>
            </w:pPr>
            <w:r>
              <w:rPr>
                <w:rFonts w:ascii="Arial" w:cs="Arial" w:eastAsia="Arial" w:hAnsi="Arial"/>
                <w:sz w:val="14"/>
                <w:szCs w:val="14"/>
                <w:color w:val="auto"/>
              </w:rPr>
              <w:t>Salem Leasing</w:t>
            </w:r>
          </w:p>
        </w:tc>
        <w:tc>
          <w:tcPr>
            <w:tcW w:w="3600" w:type="dxa"/>
            <w:vAlign w:val="bottom"/>
            <w:gridSpan w:val="3"/>
            <w:shd w:val="clear" w:color="auto" w:fill="CFF0FC"/>
          </w:tcPr>
          <w:p>
            <w:pPr>
              <w:ind w:left="120"/>
              <w:spacing w:after="0" w:line="147" w:lineRule="exact"/>
              <w:rPr>
                <w:sz w:val="20"/>
                <w:szCs w:val="20"/>
                <w:color w:val="auto"/>
              </w:rPr>
            </w:pPr>
            <w:r>
              <w:rPr>
                <w:rFonts w:ascii="Arial" w:cs="Arial" w:eastAsia="Arial" w:hAnsi="Arial"/>
                <w:sz w:val="14"/>
                <w:szCs w:val="14"/>
                <w:color w:val="auto"/>
              </w:rPr>
              <w:t>Payments for transportation equipment costs and</w:t>
            </w:r>
          </w:p>
        </w:tc>
        <w:tc>
          <w:tcPr>
            <w:tcW w:w="12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20" w:type="dxa"/>
            <w:vAlign w:val="bottom"/>
            <w:shd w:val="clear" w:color="auto" w:fill="CFF0FC"/>
          </w:tcPr>
          <w:p>
            <w:pPr>
              <w:spacing w:after="0"/>
              <w:rPr>
                <w:sz w:val="20"/>
                <w:szCs w:val="20"/>
                <w:color w:val="auto"/>
              </w:rPr>
            </w:pPr>
            <w:r>
              <w:rPr>
                <w:rFonts w:ascii="Arial" w:cs="Arial" w:eastAsia="Arial" w:hAnsi="Arial"/>
                <w:sz w:val="14"/>
                <w:szCs w:val="14"/>
                <w:color w:val="auto"/>
              </w:rPr>
              <w:t>Corporation</w:t>
            </w:r>
          </w:p>
        </w:tc>
        <w:tc>
          <w:tcPr>
            <w:tcW w:w="3600" w:type="dxa"/>
            <w:vAlign w:val="bottom"/>
            <w:gridSpan w:val="3"/>
            <w:shd w:val="clear" w:color="auto" w:fill="CFF0FC"/>
          </w:tcPr>
          <w:p>
            <w:pPr>
              <w:ind w:left="120"/>
              <w:spacing w:after="0"/>
              <w:rPr>
                <w:sz w:val="20"/>
                <w:szCs w:val="20"/>
                <w:color w:val="auto"/>
              </w:rPr>
            </w:pPr>
            <w:r>
              <w:rPr>
                <w:rFonts w:ascii="Arial" w:cs="Arial" w:eastAsia="Arial" w:hAnsi="Arial"/>
                <w:sz w:val="14"/>
                <w:szCs w:val="14"/>
                <w:color w:val="auto"/>
              </w:rPr>
              <w:t>finance lease debt service</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1,033</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1,028</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3,297</w:t>
            </w:r>
          </w:p>
        </w:tc>
        <w:tc>
          <w:tcPr>
            <w:tcW w:w="40" w:type="dxa"/>
            <w:vAlign w:val="bottom"/>
            <w:shd w:val="clear" w:color="auto" w:fill="CFF0FC"/>
          </w:tcPr>
          <w:p>
            <w:pPr>
              <w:spacing w:after="0"/>
              <w:rPr>
                <w:sz w:val="14"/>
                <w:szCs w:val="14"/>
                <w:color w:val="auto"/>
              </w:rPr>
            </w:pP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3,307</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-839470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-839470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6" w:lineRule="exact"/>
        <w:rPr>
          <w:sz w:val="20"/>
          <w:szCs w:val="20"/>
          <w:color w:val="auto"/>
        </w:rPr>
      </w:pPr>
    </w:p>
    <w:p>
      <w:pPr>
        <w:jc w:val="both"/>
        <w:ind w:right="20"/>
        <w:spacing w:after="0" w:line="285" w:lineRule="auto"/>
        <w:rPr>
          <w:sz w:val="20"/>
          <w:szCs w:val="20"/>
          <w:color w:val="auto"/>
        </w:rPr>
      </w:pPr>
      <w:r>
        <w:rPr>
          <w:rFonts w:ascii="Arial" w:cs="Arial" w:eastAsia="Arial" w:hAnsi="Arial"/>
          <w:sz w:val="14"/>
          <w:szCs w:val="14"/>
          <w:color w:val="auto"/>
        </w:rPr>
        <w:t>As discussed in Note 5, “Long-Term Debt”, UNIFI entered into the 2024 Facility in October 2024 which was collateralized by personal assets of a board member. On January 2, 2025, UNIFI borrowed $22,000 on the 2024 Facility and used the proceeds to reduce the outstanding ABL Revolver balance.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4"/>
          <w:szCs w:val="14"/>
          <w:b w:val="1"/>
          <w:bCs w:val="1"/>
          <w:color w:val="auto"/>
        </w:rPr>
        <w:t>Unifi,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Business Segment Information</w:t>
      </w:r>
    </w:p>
    <w:p>
      <w:pPr>
        <w:spacing w:after="0" w:line="109"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UNIFI defines operating segments as components of the organization for which discrete financial information is available and operating results are evaluated on a regular basis by UNIFI’s chief executive officer, who is the chief operating decision maker (the “CODM”), in order to assess performance and allocate resources. Characteristics of UNIFI which were relied upon in making the determination of reportable segments include the nature of the products sold, the internal organizational structure, the trade policies in the geographic regions in which UNIFI operates, and the information that is regularly reviewed by the CODM for the purpose of assessing performance and allocating resources.</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color w:val="auto"/>
        </w:rPr>
        <w:t>UNIFI's three reportable segments are organized as follows:</w:t>
      </w:r>
    </w:p>
    <w:p>
      <w:pPr>
        <w:spacing w:after="0" w:line="109" w:lineRule="exact"/>
        <w:rPr>
          <w:sz w:val="20"/>
          <w:szCs w:val="20"/>
          <w:color w:val="auto"/>
        </w:rPr>
      </w:pPr>
    </w:p>
    <w:p>
      <w:pPr>
        <w:jc w:val="both"/>
        <w:ind w:left="900" w:hanging="518"/>
        <w:spacing w:after="0" w:line="252" w:lineRule="auto"/>
        <w:tabs>
          <w:tab w:leader="none" w:pos="900" w:val="left"/>
        </w:tabs>
        <w:numPr>
          <w:ilvl w:val="0"/>
          <w:numId w:val="5"/>
        </w:numPr>
        <w:rPr>
          <w:rFonts w:ascii="Times New Roman" w:cs="Times New Roman" w:eastAsia="Times New Roman" w:hAnsi="Times New Roman"/>
          <w:sz w:val="14"/>
          <w:szCs w:val="14"/>
          <w:color w:val="auto"/>
        </w:rPr>
      </w:pPr>
      <w:r>
        <w:rPr>
          <w:rFonts w:ascii="Arial" w:cs="Arial" w:eastAsia="Arial" w:hAnsi="Arial"/>
          <w:sz w:val="14"/>
          <w:szCs w:val="14"/>
          <w:color w:val="auto"/>
        </w:rPr>
        <w:t>The operations within the Americas Segment exhibit similar long-term economic characteristics and primarily sell into an economic trading zone covered by the United States-Mexico-Canada Agreement and the Dominican Republic-Central America Free Trade Agreement to similar customers utilizing similar methods of distribution. These operations derive revenues primarily from manufacturing synthetic and recycled textile products with sales primarily to yarn manufacturers, knitters, and weavers that produce yarn and/or fabric for the apparel, hosiery, automotive, home furnishings, industrial, medical, and other end-use markets principally in North and Central America. The Americas Segment consists of sales and manufacturing operations in the U.S., El Salvador, and Colombia.</w:t>
      </w:r>
    </w:p>
    <w:p>
      <w:pPr>
        <w:spacing w:after="0" w:line="72" w:lineRule="exact"/>
        <w:rPr>
          <w:rFonts w:ascii="Times New Roman" w:cs="Times New Roman" w:eastAsia="Times New Roman" w:hAnsi="Times New Roman"/>
          <w:sz w:val="14"/>
          <w:szCs w:val="14"/>
          <w:color w:val="auto"/>
        </w:rPr>
      </w:pPr>
    </w:p>
    <w:p>
      <w:pPr>
        <w:ind w:left="900" w:hanging="518"/>
        <w:spacing w:after="0" w:line="284" w:lineRule="auto"/>
        <w:tabs>
          <w:tab w:leader="none" w:pos="900" w:val="left"/>
        </w:tabs>
        <w:numPr>
          <w:ilvl w:val="0"/>
          <w:numId w:val="5"/>
        </w:numPr>
        <w:rPr>
          <w:rFonts w:ascii="Times New Roman" w:cs="Times New Roman" w:eastAsia="Times New Roman" w:hAnsi="Times New Roman"/>
          <w:sz w:val="14"/>
          <w:szCs w:val="14"/>
          <w:color w:val="auto"/>
        </w:rPr>
      </w:pPr>
      <w:r>
        <w:rPr>
          <w:rFonts w:ascii="Arial" w:cs="Arial" w:eastAsia="Arial" w:hAnsi="Arial"/>
          <w:sz w:val="14"/>
          <w:szCs w:val="14"/>
          <w:color w:val="auto"/>
        </w:rPr>
        <w:t>The Brazil Segment primarily manufactures and sells polyester-based products to knitters and weavers that produce fabric for the apparel, automotive, home furnishings, industrial, and other end-use markets principally in Brazil. The Brazil Segment includes a manufacturing location and sales offices in Brazil.</w:t>
      </w:r>
    </w:p>
    <w:p>
      <w:pPr>
        <w:spacing w:after="0" w:line="50" w:lineRule="exact"/>
        <w:rPr>
          <w:rFonts w:ascii="Times New Roman" w:cs="Times New Roman" w:eastAsia="Times New Roman" w:hAnsi="Times New Roman"/>
          <w:sz w:val="14"/>
          <w:szCs w:val="14"/>
          <w:color w:val="auto"/>
        </w:rPr>
      </w:pPr>
    </w:p>
    <w:p>
      <w:pPr>
        <w:jc w:val="both"/>
        <w:ind w:left="900" w:hanging="518"/>
        <w:spacing w:after="0" w:line="255" w:lineRule="auto"/>
        <w:tabs>
          <w:tab w:leader="none" w:pos="900" w:val="left"/>
        </w:tabs>
        <w:numPr>
          <w:ilvl w:val="0"/>
          <w:numId w:val="5"/>
        </w:numPr>
        <w:rPr>
          <w:rFonts w:ascii="Times New Roman" w:cs="Times New Roman" w:eastAsia="Times New Roman" w:hAnsi="Times New Roman"/>
          <w:sz w:val="14"/>
          <w:szCs w:val="14"/>
          <w:color w:val="auto"/>
        </w:rPr>
      </w:pPr>
      <w:r>
        <w:rPr>
          <w:rFonts w:ascii="Arial" w:cs="Arial" w:eastAsia="Arial" w:hAnsi="Arial"/>
          <w:sz w:val="14"/>
          <w:szCs w:val="14"/>
          <w:color w:val="auto"/>
        </w:rPr>
        <w:t>The operations within the Asia Segment exhibit similar long-term economic characteristics and sell to similar customers utilizing similar methods of distribution primarily in Asia and Europe. The Asia Segment primarily sources synthetic and recycled textile products from third-party suppliers and sells to yarn manufacturers, knitters, and weavers that produce fabric for the apparel, automotive, home furnishings, industrial, and other end-use markets principally in Asia and Europe. The Asia Segment includes sales offices in China, Turkey, Hong Kong, and India.</w:t>
      </w:r>
    </w:p>
    <w:p>
      <w:pPr>
        <w:spacing w:after="0" w:line="11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UNIFI evaluates the operating performance of its segments based upon Segment (Loss) Profit, which represents segment gross (loss) profit plus segment depreciation expense. This measurement of segment profit or loss best aligns segment reporting with the current assessments and evaluations performed by, and information provided to, the CODM.</w:t>
      </w:r>
    </w:p>
    <w:p>
      <w:pPr>
        <w:spacing w:after="0" w:line="257"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The accounting policies for the segments are consistent with UNIFI’s accounting policies. Intersegment sales are omitted from segment disclosures, as they are (i) insignificant to UNIFI’s segments and eliminated from consolidated reporting and (ii) excluded from segment evaluations performed by the CODM.</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00" w:type="dxa"/>
            <w:vAlign w:val="bottom"/>
          </w:tcPr>
          <w:p>
            <w:pPr>
              <w:spacing w:after="0"/>
              <w:rPr>
                <w:sz w:val="20"/>
                <w:szCs w:val="20"/>
                <w:color w:val="auto"/>
              </w:rPr>
            </w:pPr>
            <w:r>
              <w:rPr>
                <w:rFonts w:ascii="Arial" w:cs="Arial" w:eastAsia="Arial" w:hAnsi="Arial"/>
                <w:sz w:val="14"/>
                <w:szCs w:val="14"/>
                <w:color w:val="auto"/>
              </w:rPr>
              <w:t>Selected financial information is presented below:</w:t>
            </w: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05"/>
        </w:trPr>
        <w:tc>
          <w:tcPr>
            <w:tcW w:w="43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4"/>
          </w:tcPr>
          <w:p>
            <w:pPr>
              <w:jc w:val="right"/>
              <w:ind w:right="68"/>
              <w:spacing w:after="0"/>
              <w:rPr>
                <w:sz w:val="20"/>
                <w:szCs w:val="20"/>
                <w:color w:val="auto"/>
              </w:rPr>
            </w:pPr>
            <w:r>
              <w:rPr>
                <w:rFonts w:ascii="Arial" w:cs="Arial" w:eastAsia="Arial" w:hAnsi="Arial"/>
                <w:sz w:val="14"/>
                <w:szCs w:val="14"/>
                <w:b w:val="1"/>
                <w:bCs w:val="1"/>
                <w:color w:val="auto"/>
              </w:rPr>
              <w:t>For the Three Months Ended March 29, 2026</w:t>
            </w: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5"/>
        </w:trPr>
        <w:tc>
          <w:tcPr>
            <w:tcW w:w="43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Americas</w:t>
            </w:r>
          </w:p>
        </w:tc>
        <w:tc>
          <w:tcPr>
            <w:tcW w:w="2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488"/>
              <w:spacing w:after="0" w:line="155" w:lineRule="exact"/>
              <w:rPr>
                <w:sz w:val="20"/>
                <w:szCs w:val="20"/>
                <w:color w:val="auto"/>
              </w:rPr>
            </w:pPr>
            <w:r>
              <w:rPr>
                <w:rFonts w:ascii="Arial" w:cs="Arial" w:eastAsia="Arial" w:hAnsi="Arial"/>
                <w:sz w:val="14"/>
                <w:szCs w:val="14"/>
                <w:b w:val="1"/>
                <w:bCs w:val="1"/>
                <w:color w:val="auto"/>
              </w:rPr>
              <w:t>Brazil</w:t>
            </w:r>
          </w:p>
        </w:tc>
        <w:tc>
          <w:tcPr>
            <w:tcW w:w="2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28"/>
              <w:spacing w:after="0" w:line="155" w:lineRule="exact"/>
              <w:rPr>
                <w:sz w:val="20"/>
                <w:szCs w:val="20"/>
                <w:color w:val="auto"/>
              </w:rPr>
            </w:pPr>
            <w:r>
              <w:rPr>
                <w:rFonts w:ascii="Arial" w:cs="Arial" w:eastAsia="Arial" w:hAnsi="Arial"/>
                <w:sz w:val="14"/>
                <w:szCs w:val="14"/>
                <w:b w:val="1"/>
                <w:bCs w:val="1"/>
                <w:color w:val="auto"/>
              </w:rPr>
              <w:t>Asia</w:t>
            </w:r>
          </w:p>
        </w:tc>
        <w:tc>
          <w:tcPr>
            <w:tcW w:w="2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08"/>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156"/>
        </w:trPr>
        <w:tc>
          <w:tcPr>
            <w:tcW w:w="43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Net sales</w:t>
            </w:r>
          </w:p>
        </w:tc>
        <w:tc>
          <w:tcPr>
            <w:tcW w:w="260" w:type="dxa"/>
            <w:vAlign w:val="bottom"/>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12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78,343</w:t>
            </w:r>
          </w:p>
        </w:tc>
        <w:tc>
          <w:tcPr>
            <w:tcW w:w="38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4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29,112</w:t>
            </w:r>
          </w:p>
        </w:tc>
        <w:tc>
          <w:tcPr>
            <w:tcW w:w="620" w:type="dxa"/>
            <w:vAlign w:val="bottom"/>
            <w:gridSpan w:val="2"/>
            <w:shd w:val="clear" w:color="auto" w:fill="CFF0FC"/>
          </w:tcPr>
          <w:p>
            <w:pPr>
              <w:jc w:val="right"/>
              <w:ind w:right="188"/>
              <w:spacing w:after="0" w:line="155" w:lineRule="exact"/>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22,582</w:t>
            </w:r>
          </w:p>
        </w:tc>
        <w:tc>
          <w:tcPr>
            <w:tcW w:w="600" w:type="dxa"/>
            <w:vAlign w:val="bottom"/>
            <w:gridSpan w:val="2"/>
            <w:shd w:val="clear" w:color="auto" w:fill="CFF0FC"/>
          </w:tcPr>
          <w:p>
            <w:pPr>
              <w:jc w:val="right"/>
              <w:ind w:right="168"/>
              <w:spacing w:after="0" w:line="155" w:lineRule="exact"/>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130,037</w:t>
            </w:r>
          </w:p>
        </w:tc>
        <w:tc>
          <w:tcPr>
            <w:tcW w:w="100" w:type="dxa"/>
            <w:vAlign w:val="bottom"/>
            <w:shd w:val="clear" w:color="auto" w:fill="CFF0FC"/>
          </w:tcPr>
          <w:p>
            <w:pPr>
              <w:spacing w:after="0"/>
              <w:rPr>
                <w:sz w:val="13"/>
                <w:szCs w:val="13"/>
                <w:color w:val="auto"/>
              </w:rPr>
            </w:pPr>
          </w:p>
        </w:tc>
      </w:tr>
      <w:tr>
        <w:trPr>
          <w:trHeight w:val="162"/>
        </w:trPr>
        <w:tc>
          <w:tcPr>
            <w:tcW w:w="4300" w:type="dxa"/>
            <w:vAlign w:val="bottom"/>
          </w:tcPr>
          <w:p>
            <w:pPr>
              <w:spacing w:after="0"/>
              <w:rPr>
                <w:sz w:val="20"/>
                <w:szCs w:val="20"/>
                <w:color w:val="auto"/>
              </w:rPr>
            </w:pPr>
            <w:r>
              <w:rPr>
                <w:rFonts w:ascii="Arial" w:cs="Arial" w:eastAsia="Arial" w:hAnsi="Arial"/>
                <w:sz w:val="14"/>
                <w:szCs w:val="14"/>
                <w:color w:val="auto"/>
              </w:rPr>
              <w:t>Cost of sales</w:t>
            </w: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74,720</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26,361</w:t>
            </w:r>
          </w:p>
        </w:tc>
        <w:tc>
          <w:tcPr>
            <w:tcW w:w="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19,839</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120,920</w:t>
            </w:r>
          </w:p>
        </w:tc>
        <w:tc>
          <w:tcPr>
            <w:tcW w:w="100" w:type="dxa"/>
            <w:vAlign w:val="bottom"/>
          </w:tcPr>
          <w:p>
            <w:pPr>
              <w:spacing w:after="0"/>
              <w:rPr>
                <w:sz w:val="14"/>
                <w:szCs w:val="14"/>
                <w:color w:val="auto"/>
              </w:rPr>
            </w:pPr>
          </w:p>
        </w:tc>
      </w:tr>
      <w:tr>
        <w:trPr>
          <w:trHeight w:val="155"/>
        </w:trPr>
        <w:tc>
          <w:tcPr>
            <w:tcW w:w="43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Gross profit</w:t>
            </w:r>
          </w:p>
        </w:tc>
        <w:tc>
          <w:tcPr>
            <w:tcW w:w="26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3,623</w:t>
            </w:r>
          </w:p>
        </w:tc>
        <w:tc>
          <w:tcPr>
            <w:tcW w:w="2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2,751</w:t>
            </w:r>
          </w:p>
        </w:tc>
        <w:tc>
          <w:tcPr>
            <w:tcW w:w="2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2,743</w:t>
            </w:r>
          </w:p>
        </w:tc>
        <w:tc>
          <w:tcPr>
            <w:tcW w:w="2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9,117</w:t>
            </w:r>
          </w:p>
        </w:tc>
        <w:tc>
          <w:tcPr>
            <w:tcW w:w="100" w:type="dxa"/>
            <w:vAlign w:val="bottom"/>
            <w:shd w:val="clear" w:color="auto" w:fill="CFF0FC"/>
          </w:tcPr>
          <w:p>
            <w:pPr>
              <w:spacing w:after="0"/>
              <w:rPr>
                <w:sz w:val="13"/>
                <w:szCs w:val="13"/>
                <w:color w:val="auto"/>
              </w:rPr>
            </w:pPr>
          </w:p>
        </w:tc>
      </w:tr>
      <w:tr>
        <w:trPr>
          <w:trHeight w:val="162"/>
        </w:trPr>
        <w:tc>
          <w:tcPr>
            <w:tcW w:w="4300" w:type="dxa"/>
            <w:vAlign w:val="bottom"/>
          </w:tcPr>
          <w:p>
            <w:pPr>
              <w:spacing w:after="0"/>
              <w:rPr>
                <w:sz w:val="20"/>
                <w:szCs w:val="20"/>
                <w:color w:val="auto"/>
              </w:rPr>
            </w:pPr>
            <w:r>
              <w:rPr>
                <w:rFonts w:ascii="Arial" w:cs="Arial" w:eastAsia="Arial" w:hAnsi="Arial"/>
                <w:sz w:val="14"/>
                <w:szCs w:val="14"/>
                <w:color w:val="auto"/>
              </w:rPr>
              <w:t>Segment depreciation expense</w:t>
            </w: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4,942</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929</w:t>
            </w:r>
          </w:p>
        </w:tc>
        <w:tc>
          <w:tcPr>
            <w:tcW w:w="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5,886</w:t>
            </w:r>
          </w:p>
        </w:tc>
        <w:tc>
          <w:tcPr>
            <w:tcW w:w="100" w:type="dxa"/>
            <w:vAlign w:val="bottom"/>
          </w:tcPr>
          <w:p>
            <w:pPr>
              <w:spacing w:after="0"/>
              <w:rPr>
                <w:sz w:val="14"/>
                <w:szCs w:val="14"/>
                <w:color w:val="auto"/>
              </w:rPr>
            </w:pPr>
          </w:p>
        </w:tc>
      </w:tr>
      <w:tr>
        <w:trPr>
          <w:trHeight w:val="195"/>
        </w:trPr>
        <w:tc>
          <w:tcPr>
            <w:tcW w:w="430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Segment Profit</w:t>
            </w:r>
          </w:p>
        </w:tc>
        <w:tc>
          <w:tcPr>
            <w:tcW w:w="260" w:type="dxa"/>
            <w:vAlign w:val="bottom"/>
            <w:tcBorders>
              <w:bottom w:val="single" w:sz="8" w:color="auto"/>
            </w:tcBorders>
            <w:shd w:val="clear" w:color="auto" w:fill="CFF0FC"/>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8,565</w:t>
            </w:r>
          </w:p>
        </w:tc>
        <w:tc>
          <w:tcPr>
            <w:tcW w:w="2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3,680</w:t>
            </w:r>
          </w:p>
        </w:tc>
        <w:tc>
          <w:tcPr>
            <w:tcW w:w="28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jc w:val="right"/>
              <w:ind w:right="188"/>
              <w:spacing w:after="0" w:line="142"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2,758</w:t>
            </w:r>
          </w:p>
        </w:tc>
        <w:tc>
          <w:tcPr>
            <w:tcW w:w="28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ind w:right="168"/>
              <w:spacing w:after="0" w:line="142" w:lineRule="exact"/>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15,003</w:t>
            </w:r>
          </w:p>
        </w:tc>
        <w:tc>
          <w:tcPr>
            <w:tcW w:w="10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-25400</wp:posOffset>
            </wp:positionV>
            <wp:extent cx="7747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-8255</wp:posOffset>
            </wp:positionV>
            <wp:extent cx="7747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-25400</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-8255</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-25400</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-8255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4"/>
          </w:tcPr>
          <w:p>
            <w:pPr>
              <w:jc w:val="right"/>
              <w:ind w:right="68"/>
              <w:spacing w:after="0"/>
              <w:rPr>
                <w:sz w:val="20"/>
                <w:szCs w:val="20"/>
                <w:color w:val="auto"/>
              </w:rPr>
            </w:pPr>
            <w:r>
              <w:rPr>
                <w:rFonts w:ascii="Arial" w:cs="Arial" w:eastAsia="Arial" w:hAnsi="Arial"/>
                <w:sz w:val="14"/>
                <w:szCs w:val="14"/>
                <w:b w:val="1"/>
                <w:bCs w:val="1"/>
                <w:color w:val="auto"/>
              </w:rPr>
              <w:t>For the Three Months Ended March 30, 2025</w:t>
            </w: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43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Americas</w:t>
            </w:r>
          </w:p>
        </w:tc>
        <w:tc>
          <w:tcPr>
            <w:tcW w:w="2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488"/>
              <w:spacing w:after="0" w:line="155" w:lineRule="exact"/>
              <w:rPr>
                <w:sz w:val="20"/>
                <w:szCs w:val="20"/>
                <w:color w:val="auto"/>
              </w:rPr>
            </w:pPr>
            <w:r>
              <w:rPr>
                <w:rFonts w:ascii="Arial" w:cs="Arial" w:eastAsia="Arial" w:hAnsi="Arial"/>
                <w:sz w:val="14"/>
                <w:szCs w:val="14"/>
                <w:b w:val="1"/>
                <w:bCs w:val="1"/>
                <w:color w:val="auto"/>
              </w:rPr>
              <w:t>Brazil</w:t>
            </w:r>
          </w:p>
        </w:tc>
        <w:tc>
          <w:tcPr>
            <w:tcW w:w="2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28"/>
              <w:spacing w:after="0" w:line="155" w:lineRule="exact"/>
              <w:rPr>
                <w:sz w:val="20"/>
                <w:szCs w:val="20"/>
                <w:color w:val="auto"/>
              </w:rPr>
            </w:pPr>
            <w:r>
              <w:rPr>
                <w:rFonts w:ascii="Arial" w:cs="Arial" w:eastAsia="Arial" w:hAnsi="Arial"/>
                <w:sz w:val="14"/>
                <w:szCs w:val="14"/>
                <w:b w:val="1"/>
                <w:bCs w:val="1"/>
                <w:color w:val="auto"/>
              </w:rPr>
              <w:t>Asia</w:t>
            </w:r>
          </w:p>
        </w:tc>
        <w:tc>
          <w:tcPr>
            <w:tcW w:w="2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08"/>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155"/>
        </w:trPr>
        <w:tc>
          <w:tcPr>
            <w:tcW w:w="43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Net sales</w:t>
            </w:r>
          </w:p>
        </w:tc>
        <w:tc>
          <w:tcPr>
            <w:tcW w:w="260" w:type="dxa"/>
            <w:vAlign w:val="bottom"/>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12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93,544</w:t>
            </w:r>
          </w:p>
        </w:tc>
        <w:tc>
          <w:tcPr>
            <w:tcW w:w="28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4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28,124</w:t>
            </w:r>
          </w:p>
        </w:tc>
        <w:tc>
          <w:tcPr>
            <w:tcW w:w="620" w:type="dxa"/>
            <w:vAlign w:val="bottom"/>
            <w:gridSpan w:val="2"/>
            <w:shd w:val="clear" w:color="auto" w:fill="CFF0FC"/>
          </w:tcPr>
          <w:p>
            <w:pPr>
              <w:jc w:val="right"/>
              <w:ind w:right="188"/>
              <w:spacing w:after="0" w:line="155" w:lineRule="exact"/>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24,889</w:t>
            </w:r>
          </w:p>
        </w:tc>
        <w:tc>
          <w:tcPr>
            <w:tcW w:w="600" w:type="dxa"/>
            <w:vAlign w:val="bottom"/>
            <w:gridSpan w:val="2"/>
            <w:shd w:val="clear" w:color="auto" w:fill="CFF0FC"/>
          </w:tcPr>
          <w:p>
            <w:pPr>
              <w:jc w:val="right"/>
              <w:ind w:right="168"/>
              <w:spacing w:after="0" w:line="155" w:lineRule="exact"/>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146,557</w:t>
            </w:r>
          </w:p>
        </w:tc>
        <w:tc>
          <w:tcPr>
            <w:tcW w:w="100" w:type="dxa"/>
            <w:vAlign w:val="bottom"/>
            <w:shd w:val="clear" w:color="auto" w:fill="CFF0FC"/>
          </w:tcPr>
          <w:p>
            <w:pPr>
              <w:spacing w:after="0"/>
              <w:rPr>
                <w:sz w:val="13"/>
                <w:szCs w:val="13"/>
                <w:color w:val="auto"/>
              </w:rPr>
            </w:pPr>
          </w:p>
        </w:tc>
      </w:tr>
      <w:tr>
        <w:trPr>
          <w:trHeight w:val="162"/>
        </w:trPr>
        <w:tc>
          <w:tcPr>
            <w:tcW w:w="4300" w:type="dxa"/>
            <w:vAlign w:val="bottom"/>
          </w:tcPr>
          <w:p>
            <w:pPr>
              <w:spacing w:after="0"/>
              <w:rPr>
                <w:sz w:val="20"/>
                <w:szCs w:val="20"/>
                <w:color w:val="auto"/>
              </w:rPr>
            </w:pPr>
            <w:r>
              <w:rPr>
                <w:rFonts w:ascii="Arial" w:cs="Arial" w:eastAsia="Arial" w:hAnsi="Arial"/>
                <w:sz w:val="14"/>
                <w:szCs w:val="14"/>
                <w:color w:val="auto"/>
              </w:rPr>
              <w:t>Cost of sales</w:t>
            </w: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100,501</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25,136</w:t>
            </w:r>
          </w:p>
        </w:tc>
        <w:tc>
          <w:tcPr>
            <w:tcW w:w="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21,365</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147,002</w:t>
            </w:r>
          </w:p>
        </w:tc>
        <w:tc>
          <w:tcPr>
            <w:tcW w:w="100" w:type="dxa"/>
            <w:vAlign w:val="bottom"/>
          </w:tcPr>
          <w:p>
            <w:pPr>
              <w:spacing w:after="0"/>
              <w:rPr>
                <w:sz w:val="14"/>
                <w:szCs w:val="14"/>
                <w:color w:val="auto"/>
              </w:rPr>
            </w:pPr>
          </w:p>
        </w:tc>
      </w:tr>
      <w:tr>
        <w:trPr>
          <w:trHeight w:val="155"/>
        </w:trPr>
        <w:tc>
          <w:tcPr>
            <w:tcW w:w="43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Gross (loss) profit</w:t>
            </w:r>
          </w:p>
        </w:tc>
        <w:tc>
          <w:tcPr>
            <w:tcW w:w="260" w:type="dxa"/>
            <w:vAlign w:val="bottom"/>
            <w:shd w:val="clear" w:color="auto" w:fill="CFF0FC"/>
          </w:tcPr>
          <w:p>
            <w:pPr>
              <w:spacing w:after="0"/>
              <w:rPr>
                <w:sz w:val="13"/>
                <w:szCs w:val="13"/>
                <w:color w:val="auto"/>
              </w:rPr>
            </w:pPr>
          </w:p>
        </w:tc>
        <w:tc>
          <w:tcPr>
            <w:tcW w:w="1540" w:type="dxa"/>
            <w:vAlign w:val="bottom"/>
            <w:gridSpan w:val="2"/>
            <w:shd w:val="clear" w:color="auto" w:fill="CFF0FC"/>
          </w:tcPr>
          <w:p>
            <w:pPr>
              <w:jc w:val="right"/>
              <w:ind w:right="240"/>
              <w:spacing w:after="0" w:line="155" w:lineRule="exact"/>
              <w:rPr>
                <w:sz w:val="20"/>
                <w:szCs w:val="20"/>
                <w:color w:val="auto"/>
              </w:rPr>
            </w:pPr>
            <w:r>
              <w:rPr>
                <w:rFonts w:ascii="Arial" w:cs="Arial" w:eastAsia="Arial" w:hAnsi="Arial"/>
                <w:sz w:val="14"/>
                <w:szCs w:val="14"/>
                <w:color w:val="auto"/>
              </w:rPr>
              <w:t>(6,957)</w:t>
            </w:r>
          </w:p>
        </w:tc>
        <w:tc>
          <w:tcPr>
            <w:tcW w:w="10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2,988</w:t>
            </w:r>
          </w:p>
        </w:tc>
        <w:tc>
          <w:tcPr>
            <w:tcW w:w="2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3,524</w:t>
            </w:r>
          </w:p>
        </w:tc>
        <w:tc>
          <w:tcPr>
            <w:tcW w:w="2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(445)</w:t>
            </w:r>
          </w:p>
        </w:tc>
      </w:tr>
      <w:tr>
        <w:trPr>
          <w:trHeight w:val="162"/>
        </w:trPr>
        <w:tc>
          <w:tcPr>
            <w:tcW w:w="4300" w:type="dxa"/>
            <w:vAlign w:val="bottom"/>
          </w:tcPr>
          <w:p>
            <w:pPr>
              <w:spacing w:after="0"/>
              <w:rPr>
                <w:sz w:val="20"/>
                <w:szCs w:val="20"/>
                <w:color w:val="auto"/>
              </w:rPr>
            </w:pPr>
            <w:r>
              <w:rPr>
                <w:rFonts w:ascii="Arial" w:cs="Arial" w:eastAsia="Arial" w:hAnsi="Arial"/>
                <w:sz w:val="14"/>
                <w:szCs w:val="14"/>
                <w:color w:val="auto"/>
              </w:rPr>
              <w:t>Segment depreciation expense</w:t>
            </w: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5,251</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701</w:t>
            </w:r>
          </w:p>
        </w:tc>
        <w:tc>
          <w:tcPr>
            <w:tcW w:w="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5,965</w:t>
            </w:r>
          </w:p>
        </w:tc>
        <w:tc>
          <w:tcPr>
            <w:tcW w:w="100" w:type="dxa"/>
            <w:vAlign w:val="bottom"/>
          </w:tcPr>
          <w:p>
            <w:pPr>
              <w:spacing w:after="0"/>
              <w:rPr>
                <w:sz w:val="14"/>
                <w:szCs w:val="14"/>
                <w:color w:val="auto"/>
              </w:rPr>
            </w:pPr>
          </w:p>
        </w:tc>
      </w:tr>
      <w:tr>
        <w:trPr>
          <w:trHeight w:val="195"/>
        </w:trPr>
        <w:tc>
          <w:tcPr>
            <w:tcW w:w="430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Segment (Loss) Profit</w:t>
            </w:r>
          </w:p>
        </w:tc>
        <w:tc>
          <w:tcPr>
            <w:tcW w:w="260" w:type="dxa"/>
            <w:vAlign w:val="bottom"/>
            <w:tcBorders>
              <w:bottom w:val="single" w:sz="8" w:color="auto"/>
            </w:tcBorders>
            <w:shd w:val="clear" w:color="auto" w:fill="CFF0FC"/>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(1,706)</w:t>
            </w:r>
          </w:p>
        </w:tc>
        <w:tc>
          <w:tcPr>
            <w:tcW w:w="2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3,689</w:t>
            </w:r>
          </w:p>
        </w:tc>
        <w:tc>
          <w:tcPr>
            <w:tcW w:w="28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jc w:val="right"/>
              <w:ind w:right="188"/>
              <w:spacing w:after="0" w:line="142"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3,537</w:t>
            </w:r>
          </w:p>
        </w:tc>
        <w:tc>
          <w:tcPr>
            <w:tcW w:w="28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ind w:right="168"/>
              <w:spacing w:after="0" w:line="142" w:lineRule="exact"/>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5,520</w:t>
            </w:r>
          </w:p>
        </w:tc>
        <w:tc>
          <w:tcPr>
            <w:tcW w:w="10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-25400</wp:posOffset>
            </wp:positionV>
            <wp:extent cx="7747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-8255</wp:posOffset>
            </wp:positionV>
            <wp:extent cx="7747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-25400</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-8255</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-25400</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-8255</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4"/>
          </w:tcPr>
          <w:p>
            <w:pPr>
              <w:jc w:val="right"/>
              <w:ind w:right="108"/>
              <w:spacing w:after="0"/>
              <w:rPr>
                <w:sz w:val="20"/>
                <w:szCs w:val="20"/>
                <w:color w:val="auto"/>
              </w:rPr>
            </w:pPr>
            <w:r>
              <w:rPr>
                <w:rFonts w:ascii="Arial" w:cs="Arial" w:eastAsia="Arial" w:hAnsi="Arial"/>
                <w:sz w:val="14"/>
                <w:szCs w:val="14"/>
                <w:b w:val="1"/>
                <w:bCs w:val="1"/>
                <w:color w:val="auto"/>
              </w:rPr>
              <w:t>For the Nine Months Ended March 29, 2026</w:t>
            </w: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43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Americas</w:t>
            </w:r>
          </w:p>
        </w:tc>
        <w:tc>
          <w:tcPr>
            <w:tcW w:w="2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488"/>
              <w:spacing w:after="0" w:line="155" w:lineRule="exact"/>
              <w:rPr>
                <w:sz w:val="20"/>
                <w:szCs w:val="20"/>
                <w:color w:val="auto"/>
              </w:rPr>
            </w:pPr>
            <w:r>
              <w:rPr>
                <w:rFonts w:ascii="Arial" w:cs="Arial" w:eastAsia="Arial" w:hAnsi="Arial"/>
                <w:sz w:val="14"/>
                <w:szCs w:val="14"/>
                <w:b w:val="1"/>
                <w:bCs w:val="1"/>
                <w:color w:val="auto"/>
              </w:rPr>
              <w:t>Brazil</w:t>
            </w:r>
          </w:p>
        </w:tc>
        <w:tc>
          <w:tcPr>
            <w:tcW w:w="2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28"/>
              <w:spacing w:after="0" w:line="155" w:lineRule="exact"/>
              <w:rPr>
                <w:sz w:val="20"/>
                <w:szCs w:val="20"/>
                <w:color w:val="auto"/>
              </w:rPr>
            </w:pPr>
            <w:r>
              <w:rPr>
                <w:rFonts w:ascii="Arial" w:cs="Arial" w:eastAsia="Arial" w:hAnsi="Arial"/>
                <w:sz w:val="14"/>
                <w:szCs w:val="14"/>
                <w:b w:val="1"/>
                <w:bCs w:val="1"/>
                <w:color w:val="auto"/>
              </w:rPr>
              <w:t>Asia</w:t>
            </w:r>
          </w:p>
        </w:tc>
        <w:tc>
          <w:tcPr>
            <w:tcW w:w="2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08"/>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155"/>
        </w:trPr>
        <w:tc>
          <w:tcPr>
            <w:tcW w:w="43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Net sales</w:t>
            </w:r>
          </w:p>
        </w:tc>
        <w:tc>
          <w:tcPr>
            <w:tcW w:w="260" w:type="dxa"/>
            <w:vAlign w:val="bottom"/>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12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240,772</w:t>
            </w:r>
          </w:p>
        </w:tc>
        <w:tc>
          <w:tcPr>
            <w:tcW w:w="40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3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81,201</w:t>
            </w:r>
          </w:p>
        </w:tc>
        <w:tc>
          <w:tcPr>
            <w:tcW w:w="620" w:type="dxa"/>
            <w:vAlign w:val="bottom"/>
            <w:gridSpan w:val="2"/>
            <w:shd w:val="clear" w:color="auto" w:fill="CFF0FC"/>
          </w:tcPr>
          <w:p>
            <w:pPr>
              <w:jc w:val="right"/>
              <w:ind w:right="188"/>
              <w:spacing w:after="0" w:line="155" w:lineRule="exact"/>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65,106</w:t>
            </w:r>
          </w:p>
        </w:tc>
        <w:tc>
          <w:tcPr>
            <w:tcW w:w="600" w:type="dxa"/>
            <w:vAlign w:val="bottom"/>
            <w:gridSpan w:val="2"/>
            <w:shd w:val="clear" w:color="auto" w:fill="CFF0FC"/>
          </w:tcPr>
          <w:p>
            <w:pPr>
              <w:jc w:val="right"/>
              <w:ind w:right="168"/>
              <w:spacing w:after="0" w:line="155" w:lineRule="exact"/>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387,079</w:t>
            </w:r>
          </w:p>
        </w:tc>
        <w:tc>
          <w:tcPr>
            <w:tcW w:w="100" w:type="dxa"/>
            <w:vAlign w:val="bottom"/>
            <w:shd w:val="clear" w:color="auto" w:fill="CFF0FC"/>
          </w:tcPr>
          <w:p>
            <w:pPr>
              <w:spacing w:after="0"/>
              <w:rPr>
                <w:sz w:val="13"/>
                <w:szCs w:val="13"/>
                <w:color w:val="auto"/>
              </w:rPr>
            </w:pPr>
          </w:p>
        </w:tc>
      </w:tr>
      <w:tr>
        <w:trPr>
          <w:trHeight w:val="162"/>
        </w:trPr>
        <w:tc>
          <w:tcPr>
            <w:tcW w:w="4300" w:type="dxa"/>
            <w:vAlign w:val="bottom"/>
          </w:tcPr>
          <w:p>
            <w:pPr>
              <w:spacing w:after="0"/>
              <w:rPr>
                <w:sz w:val="20"/>
                <w:szCs w:val="20"/>
                <w:color w:val="auto"/>
              </w:rPr>
            </w:pPr>
            <w:r>
              <w:rPr>
                <w:rFonts w:ascii="Arial" w:cs="Arial" w:eastAsia="Arial" w:hAnsi="Arial"/>
                <w:sz w:val="14"/>
                <w:szCs w:val="14"/>
                <w:color w:val="auto"/>
              </w:rPr>
              <w:t>Cost of sales</w:t>
            </w: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239,260</w:t>
            </w: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74,733</w:t>
            </w:r>
          </w:p>
        </w:tc>
        <w:tc>
          <w:tcPr>
            <w:tcW w:w="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56,971</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370,964</w:t>
            </w:r>
          </w:p>
        </w:tc>
        <w:tc>
          <w:tcPr>
            <w:tcW w:w="100" w:type="dxa"/>
            <w:vAlign w:val="bottom"/>
          </w:tcPr>
          <w:p>
            <w:pPr>
              <w:spacing w:after="0"/>
              <w:rPr>
                <w:sz w:val="14"/>
                <w:szCs w:val="14"/>
                <w:color w:val="auto"/>
              </w:rPr>
            </w:pPr>
          </w:p>
        </w:tc>
      </w:tr>
      <w:tr>
        <w:trPr>
          <w:trHeight w:val="155"/>
        </w:trPr>
        <w:tc>
          <w:tcPr>
            <w:tcW w:w="43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Gross profit</w:t>
            </w:r>
          </w:p>
        </w:tc>
        <w:tc>
          <w:tcPr>
            <w:tcW w:w="26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1,512</w:t>
            </w:r>
          </w:p>
        </w:tc>
        <w:tc>
          <w:tcPr>
            <w:tcW w:w="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6,468</w:t>
            </w:r>
          </w:p>
        </w:tc>
        <w:tc>
          <w:tcPr>
            <w:tcW w:w="2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8,135</w:t>
            </w:r>
          </w:p>
        </w:tc>
        <w:tc>
          <w:tcPr>
            <w:tcW w:w="2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16,115</w:t>
            </w:r>
          </w:p>
        </w:tc>
        <w:tc>
          <w:tcPr>
            <w:tcW w:w="100" w:type="dxa"/>
            <w:vAlign w:val="bottom"/>
            <w:shd w:val="clear" w:color="auto" w:fill="CFF0FC"/>
          </w:tcPr>
          <w:p>
            <w:pPr>
              <w:spacing w:after="0"/>
              <w:rPr>
                <w:sz w:val="13"/>
                <w:szCs w:val="13"/>
                <w:color w:val="auto"/>
              </w:rPr>
            </w:pPr>
          </w:p>
        </w:tc>
      </w:tr>
      <w:tr>
        <w:trPr>
          <w:trHeight w:val="162"/>
        </w:trPr>
        <w:tc>
          <w:tcPr>
            <w:tcW w:w="4300" w:type="dxa"/>
            <w:vAlign w:val="bottom"/>
          </w:tcPr>
          <w:p>
            <w:pPr>
              <w:spacing w:after="0"/>
              <w:rPr>
                <w:sz w:val="20"/>
                <w:szCs w:val="20"/>
                <w:color w:val="auto"/>
              </w:rPr>
            </w:pPr>
            <w:r>
              <w:rPr>
                <w:rFonts w:ascii="Arial" w:cs="Arial" w:eastAsia="Arial" w:hAnsi="Arial"/>
                <w:sz w:val="14"/>
                <w:szCs w:val="14"/>
                <w:color w:val="auto"/>
              </w:rPr>
              <w:t>Segment depreciation expense</w:t>
            </w: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14,764</w:t>
            </w: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2,412</w:t>
            </w:r>
          </w:p>
        </w:tc>
        <w:tc>
          <w:tcPr>
            <w:tcW w:w="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17,218</w:t>
            </w:r>
          </w:p>
        </w:tc>
        <w:tc>
          <w:tcPr>
            <w:tcW w:w="100" w:type="dxa"/>
            <w:vAlign w:val="bottom"/>
          </w:tcPr>
          <w:p>
            <w:pPr>
              <w:spacing w:after="0"/>
              <w:rPr>
                <w:sz w:val="14"/>
                <w:szCs w:val="14"/>
                <w:color w:val="auto"/>
              </w:rPr>
            </w:pPr>
          </w:p>
        </w:tc>
      </w:tr>
      <w:tr>
        <w:trPr>
          <w:trHeight w:val="195"/>
        </w:trPr>
        <w:tc>
          <w:tcPr>
            <w:tcW w:w="430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Segment Profit</w:t>
            </w:r>
          </w:p>
        </w:tc>
        <w:tc>
          <w:tcPr>
            <w:tcW w:w="260" w:type="dxa"/>
            <w:vAlign w:val="bottom"/>
            <w:tcBorders>
              <w:bottom w:val="single" w:sz="8" w:color="auto"/>
            </w:tcBorders>
            <w:shd w:val="clear" w:color="auto" w:fill="CFF0FC"/>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16,276</w:t>
            </w:r>
          </w:p>
        </w:tc>
        <w:tc>
          <w:tcPr>
            <w:tcW w:w="2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8,880</w:t>
            </w:r>
          </w:p>
        </w:tc>
        <w:tc>
          <w:tcPr>
            <w:tcW w:w="28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jc w:val="right"/>
              <w:ind w:right="188"/>
              <w:spacing w:after="0" w:line="142"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8,177</w:t>
            </w:r>
          </w:p>
        </w:tc>
        <w:tc>
          <w:tcPr>
            <w:tcW w:w="28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ind w:right="168"/>
              <w:spacing w:after="0" w:line="142" w:lineRule="exact"/>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33,333</w:t>
            </w:r>
          </w:p>
        </w:tc>
        <w:tc>
          <w:tcPr>
            <w:tcW w:w="10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-24765</wp:posOffset>
            </wp:positionV>
            <wp:extent cx="7747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-7620</wp:posOffset>
            </wp:positionV>
            <wp:extent cx="774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-24765</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-7620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-24765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-7620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4"/>
          </w:tcPr>
          <w:p>
            <w:pPr>
              <w:jc w:val="right"/>
              <w:ind w:right="108"/>
              <w:spacing w:after="0"/>
              <w:rPr>
                <w:sz w:val="20"/>
                <w:szCs w:val="20"/>
                <w:color w:val="auto"/>
              </w:rPr>
            </w:pPr>
            <w:r>
              <w:rPr>
                <w:rFonts w:ascii="Arial" w:cs="Arial" w:eastAsia="Arial" w:hAnsi="Arial"/>
                <w:sz w:val="14"/>
                <w:szCs w:val="14"/>
                <w:b w:val="1"/>
                <w:bCs w:val="1"/>
                <w:color w:val="auto"/>
              </w:rPr>
              <w:t>For the Nine Months Ended March 30, 2025</w:t>
            </w: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43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Americas</w:t>
            </w:r>
          </w:p>
        </w:tc>
        <w:tc>
          <w:tcPr>
            <w:tcW w:w="2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488"/>
              <w:spacing w:after="0" w:line="155" w:lineRule="exact"/>
              <w:rPr>
                <w:sz w:val="20"/>
                <w:szCs w:val="20"/>
                <w:color w:val="auto"/>
              </w:rPr>
            </w:pPr>
            <w:r>
              <w:rPr>
                <w:rFonts w:ascii="Arial" w:cs="Arial" w:eastAsia="Arial" w:hAnsi="Arial"/>
                <w:sz w:val="14"/>
                <w:szCs w:val="14"/>
                <w:b w:val="1"/>
                <w:bCs w:val="1"/>
                <w:color w:val="auto"/>
              </w:rPr>
              <w:t>Brazil</w:t>
            </w:r>
          </w:p>
        </w:tc>
        <w:tc>
          <w:tcPr>
            <w:tcW w:w="2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28"/>
              <w:spacing w:after="0" w:line="155" w:lineRule="exact"/>
              <w:rPr>
                <w:sz w:val="20"/>
                <w:szCs w:val="20"/>
                <w:color w:val="auto"/>
              </w:rPr>
            </w:pPr>
            <w:r>
              <w:rPr>
                <w:rFonts w:ascii="Arial" w:cs="Arial" w:eastAsia="Arial" w:hAnsi="Arial"/>
                <w:sz w:val="14"/>
                <w:szCs w:val="14"/>
                <w:b w:val="1"/>
                <w:bCs w:val="1"/>
                <w:color w:val="auto"/>
              </w:rPr>
              <w:t>Asia</w:t>
            </w:r>
          </w:p>
        </w:tc>
        <w:tc>
          <w:tcPr>
            <w:tcW w:w="2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08"/>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155"/>
        </w:trPr>
        <w:tc>
          <w:tcPr>
            <w:tcW w:w="43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Net sales</w:t>
            </w:r>
          </w:p>
        </w:tc>
        <w:tc>
          <w:tcPr>
            <w:tcW w:w="260" w:type="dxa"/>
            <w:vAlign w:val="bottom"/>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12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262,922</w:t>
            </w:r>
          </w:p>
        </w:tc>
        <w:tc>
          <w:tcPr>
            <w:tcW w:w="28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3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89,916</w:t>
            </w:r>
          </w:p>
        </w:tc>
        <w:tc>
          <w:tcPr>
            <w:tcW w:w="620" w:type="dxa"/>
            <w:vAlign w:val="bottom"/>
            <w:gridSpan w:val="2"/>
            <w:shd w:val="clear" w:color="auto" w:fill="CFF0FC"/>
          </w:tcPr>
          <w:p>
            <w:pPr>
              <w:jc w:val="right"/>
              <w:ind w:right="188"/>
              <w:spacing w:after="0" w:line="155" w:lineRule="exact"/>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79,971</w:t>
            </w:r>
          </w:p>
        </w:tc>
        <w:tc>
          <w:tcPr>
            <w:tcW w:w="600" w:type="dxa"/>
            <w:vAlign w:val="bottom"/>
            <w:gridSpan w:val="2"/>
            <w:shd w:val="clear" w:color="auto" w:fill="CFF0FC"/>
          </w:tcPr>
          <w:p>
            <w:pPr>
              <w:jc w:val="right"/>
              <w:ind w:right="168"/>
              <w:spacing w:after="0" w:line="155" w:lineRule="exact"/>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432,809</w:t>
            </w:r>
          </w:p>
        </w:tc>
        <w:tc>
          <w:tcPr>
            <w:tcW w:w="100" w:type="dxa"/>
            <w:vAlign w:val="bottom"/>
            <w:shd w:val="clear" w:color="auto" w:fill="CFF0FC"/>
          </w:tcPr>
          <w:p>
            <w:pPr>
              <w:spacing w:after="0"/>
              <w:rPr>
                <w:sz w:val="13"/>
                <w:szCs w:val="13"/>
                <w:color w:val="auto"/>
              </w:rPr>
            </w:pPr>
          </w:p>
        </w:tc>
      </w:tr>
      <w:tr>
        <w:trPr>
          <w:trHeight w:val="162"/>
        </w:trPr>
        <w:tc>
          <w:tcPr>
            <w:tcW w:w="4300" w:type="dxa"/>
            <w:vAlign w:val="bottom"/>
          </w:tcPr>
          <w:p>
            <w:pPr>
              <w:spacing w:after="0"/>
              <w:rPr>
                <w:sz w:val="20"/>
                <w:szCs w:val="20"/>
                <w:color w:val="auto"/>
              </w:rPr>
            </w:pPr>
            <w:r>
              <w:rPr>
                <w:rFonts w:ascii="Arial" w:cs="Arial" w:eastAsia="Arial" w:hAnsi="Arial"/>
                <w:sz w:val="14"/>
                <w:szCs w:val="14"/>
                <w:color w:val="auto"/>
              </w:rPr>
              <w:t>Cost of sales</w:t>
            </w: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277,797</w:t>
            </w: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75,205</w:t>
            </w:r>
          </w:p>
        </w:tc>
        <w:tc>
          <w:tcPr>
            <w:tcW w:w="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70,260</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423,262</w:t>
            </w:r>
          </w:p>
        </w:tc>
        <w:tc>
          <w:tcPr>
            <w:tcW w:w="100" w:type="dxa"/>
            <w:vAlign w:val="bottom"/>
          </w:tcPr>
          <w:p>
            <w:pPr>
              <w:spacing w:after="0"/>
              <w:rPr>
                <w:sz w:val="14"/>
                <w:szCs w:val="14"/>
                <w:color w:val="auto"/>
              </w:rPr>
            </w:pPr>
          </w:p>
        </w:tc>
      </w:tr>
      <w:tr>
        <w:trPr>
          <w:trHeight w:val="155"/>
        </w:trPr>
        <w:tc>
          <w:tcPr>
            <w:tcW w:w="43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Gross (loss) profit</w:t>
            </w:r>
          </w:p>
        </w:tc>
        <w:tc>
          <w:tcPr>
            <w:tcW w:w="260" w:type="dxa"/>
            <w:vAlign w:val="bottom"/>
            <w:shd w:val="clear" w:color="auto" w:fill="CFF0FC"/>
          </w:tcPr>
          <w:p>
            <w:pPr>
              <w:spacing w:after="0"/>
              <w:rPr>
                <w:sz w:val="13"/>
                <w:szCs w:val="13"/>
                <w:color w:val="auto"/>
              </w:rPr>
            </w:pPr>
          </w:p>
        </w:tc>
        <w:tc>
          <w:tcPr>
            <w:tcW w:w="1540" w:type="dxa"/>
            <w:vAlign w:val="bottom"/>
            <w:gridSpan w:val="2"/>
            <w:shd w:val="clear" w:color="auto" w:fill="CFF0FC"/>
          </w:tcPr>
          <w:p>
            <w:pPr>
              <w:jc w:val="right"/>
              <w:ind w:right="240"/>
              <w:spacing w:after="0" w:line="155" w:lineRule="exact"/>
              <w:rPr>
                <w:sz w:val="20"/>
                <w:szCs w:val="20"/>
                <w:color w:val="auto"/>
              </w:rPr>
            </w:pPr>
            <w:r>
              <w:rPr>
                <w:rFonts w:ascii="Arial" w:cs="Arial" w:eastAsia="Arial" w:hAnsi="Arial"/>
                <w:sz w:val="14"/>
                <w:szCs w:val="14"/>
                <w:color w:val="auto"/>
              </w:rPr>
              <w:t>(14,875)</w:t>
            </w:r>
          </w:p>
        </w:tc>
        <w:tc>
          <w:tcPr>
            <w:tcW w:w="120" w:type="dxa"/>
            <w:vAlign w:val="bottom"/>
            <w:shd w:val="clear" w:color="auto" w:fill="CFF0FC"/>
          </w:tcPr>
          <w:p>
            <w:pPr>
              <w:spacing w:after="0"/>
              <w:rPr>
                <w:sz w:val="13"/>
                <w:szCs w:val="13"/>
                <w:color w:val="auto"/>
              </w:rPr>
            </w:pPr>
          </w:p>
        </w:tc>
        <w:tc>
          <w:tcPr>
            <w:tcW w:w="13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14,711</w:t>
            </w:r>
          </w:p>
        </w:tc>
        <w:tc>
          <w:tcPr>
            <w:tcW w:w="2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9,711</w:t>
            </w:r>
          </w:p>
        </w:tc>
        <w:tc>
          <w:tcPr>
            <w:tcW w:w="2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9,547</w:t>
            </w:r>
          </w:p>
        </w:tc>
        <w:tc>
          <w:tcPr>
            <w:tcW w:w="100" w:type="dxa"/>
            <w:vAlign w:val="bottom"/>
            <w:shd w:val="clear" w:color="auto" w:fill="CFF0FC"/>
          </w:tcPr>
          <w:p>
            <w:pPr>
              <w:spacing w:after="0"/>
              <w:rPr>
                <w:sz w:val="13"/>
                <w:szCs w:val="13"/>
                <w:color w:val="auto"/>
              </w:rPr>
            </w:pPr>
          </w:p>
        </w:tc>
      </w:tr>
      <w:tr>
        <w:trPr>
          <w:trHeight w:val="162"/>
        </w:trPr>
        <w:tc>
          <w:tcPr>
            <w:tcW w:w="4300" w:type="dxa"/>
            <w:vAlign w:val="bottom"/>
          </w:tcPr>
          <w:p>
            <w:pPr>
              <w:spacing w:after="0"/>
              <w:rPr>
                <w:sz w:val="20"/>
                <w:szCs w:val="20"/>
                <w:color w:val="auto"/>
              </w:rPr>
            </w:pPr>
            <w:r>
              <w:rPr>
                <w:rFonts w:ascii="Arial" w:cs="Arial" w:eastAsia="Arial" w:hAnsi="Arial"/>
                <w:sz w:val="14"/>
                <w:szCs w:val="14"/>
                <w:color w:val="auto"/>
              </w:rPr>
              <w:t>Segment depreciation expense</w:t>
            </w: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15,995</w:t>
            </w: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2,044</w:t>
            </w:r>
          </w:p>
        </w:tc>
        <w:tc>
          <w:tcPr>
            <w:tcW w:w="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18,083</w:t>
            </w:r>
          </w:p>
        </w:tc>
        <w:tc>
          <w:tcPr>
            <w:tcW w:w="100" w:type="dxa"/>
            <w:vAlign w:val="bottom"/>
          </w:tcPr>
          <w:p>
            <w:pPr>
              <w:spacing w:after="0"/>
              <w:rPr>
                <w:sz w:val="14"/>
                <w:szCs w:val="14"/>
                <w:color w:val="auto"/>
              </w:rPr>
            </w:pPr>
          </w:p>
        </w:tc>
      </w:tr>
      <w:tr>
        <w:trPr>
          <w:trHeight w:val="195"/>
        </w:trPr>
        <w:tc>
          <w:tcPr>
            <w:tcW w:w="430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Segment Profit</w:t>
            </w:r>
          </w:p>
        </w:tc>
        <w:tc>
          <w:tcPr>
            <w:tcW w:w="260" w:type="dxa"/>
            <w:vAlign w:val="bottom"/>
            <w:tcBorders>
              <w:bottom w:val="single" w:sz="8" w:color="auto"/>
            </w:tcBorders>
            <w:shd w:val="clear" w:color="auto" w:fill="CFF0FC"/>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1,120</w:t>
            </w:r>
          </w:p>
        </w:tc>
        <w:tc>
          <w:tcPr>
            <w:tcW w:w="2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16,755</w:t>
            </w:r>
          </w:p>
        </w:tc>
        <w:tc>
          <w:tcPr>
            <w:tcW w:w="28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jc w:val="right"/>
              <w:ind w:right="188"/>
              <w:spacing w:after="0" w:line="142"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9,755</w:t>
            </w:r>
          </w:p>
        </w:tc>
        <w:tc>
          <w:tcPr>
            <w:tcW w:w="28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ind w:right="168"/>
              <w:spacing w:after="0" w:line="142" w:lineRule="exact"/>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27,630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594"/>
        </w:trPr>
        <w:tc>
          <w:tcPr>
            <w:tcW w:w="4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9</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4"/>
        </w:trPr>
        <w:tc>
          <w:tcPr>
            <w:tcW w:w="43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-899795</wp:posOffset>
            </wp:positionV>
            <wp:extent cx="7747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-882015</wp:posOffset>
            </wp:positionV>
            <wp:extent cx="7747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-899795</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-882015</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-899795</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-882015</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-899795</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-882015</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4"/>
          <w:szCs w:val="14"/>
          <w:b w:val="1"/>
          <w:bCs w:val="1"/>
          <w:color w:val="auto"/>
        </w:rPr>
        <w:t>Unifi,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60" w:type="dxa"/>
            <w:vAlign w:val="bottom"/>
            <w:gridSpan w:val="7"/>
          </w:tcPr>
          <w:p>
            <w:pPr>
              <w:spacing w:after="0"/>
              <w:rPr>
                <w:sz w:val="20"/>
                <w:szCs w:val="20"/>
                <w:color w:val="auto"/>
              </w:rPr>
            </w:pPr>
            <w:r>
              <w:rPr>
                <w:rFonts w:ascii="Arial" w:cs="Arial" w:eastAsia="Arial" w:hAnsi="Arial"/>
                <w:sz w:val="14"/>
                <w:szCs w:val="14"/>
                <w:color w:val="auto"/>
              </w:rPr>
              <w:t>The reconciliations of segment gross profit to consolidated loss before income taxes are as follows: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51"/>
        </w:trPr>
        <w:tc>
          <w:tcPr>
            <w:tcW w:w="4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32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For the Three Months Ended</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30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For the Nine Months Ended</w:t>
            </w:r>
          </w:p>
        </w:tc>
      </w:tr>
      <w:tr>
        <w:trPr>
          <w:trHeight w:val="156"/>
        </w:trPr>
        <w:tc>
          <w:tcPr>
            <w:tcW w:w="41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March 29, 2026</w:t>
            </w:r>
          </w:p>
        </w:tc>
        <w:tc>
          <w:tcPr>
            <w:tcW w:w="28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March 30, 2025</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March 29, 2026</w:t>
            </w:r>
          </w:p>
        </w:tc>
        <w:tc>
          <w:tcPr>
            <w:tcW w:w="1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8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March 30, 2025</w:t>
            </w:r>
          </w:p>
        </w:tc>
        <w:tc>
          <w:tcPr>
            <w:tcW w:w="120" w:type="dxa"/>
            <w:vAlign w:val="bottom"/>
          </w:tcPr>
          <w:p>
            <w:pPr>
              <w:spacing w:after="0"/>
              <w:rPr>
                <w:sz w:val="13"/>
                <w:szCs w:val="13"/>
                <w:color w:val="auto"/>
              </w:rPr>
            </w:pPr>
          </w:p>
        </w:tc>
      </w:tr>
      <w:tr>
        <w:trPr>
          <w:trHeight w:val="155"/>
        </w:trPr>
        <w:tc>
          <w:tcPr>
            <w:tcW w:w="418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Americas</w:t>
            </w:r>
          </w:p>
        </w:tc>
        <w:tc>
          <w:tcPr>
            <w:tcW w:w="160" w:type="dxa"/>
            <w:vAlign w:val="bottom"/>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3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3,623</w:t>
            </w:r>
          </w:p>
        </w:tc>
        <w:tc>
          <w:tcPr>
            <w:tcW w:w="28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520" w:type="dxa"/>
            <w:vAlign w:val="bottom"/>
            <w:gridSpan w:val="2"/>
            <w:shd w:val="clear" w:color="auto" w:fill="CFF0FC"/>
          </w:tcPr>
          <w:p>
            <w:pPr>
              <w:jc w:val="right"/>
              <w:ind w:right="120"/>
              <w:spacing w:after="0" w:line="155" w:lineRule="exact"/>
              <w:rPr>
                <w:sz w:val="20"/>
                <w:szCs w:val="20"/>
                <w:color w:val="auto"/>
              </w:rPr>
            </w:pPr>
            <w:r>
              <w:rPr>
                <w:rFonts w:ascii="Arial" w:cs="Arial" w:eastAsia="Arial" w:hAnsi="Arial"/>
                <w:sz w:val="14"/>
                <w:szCs w:val="14"/>
                <w:color w:val="auto"/>
              </w:rPr>
              <w:t>(6,957)</w:t>
            </w:r>
          </w:p>
        </w:tc>
        <w:tc>
          <w:tcPr>
            <w:tcW w:w="280" w:type="dxa"/>
            <w:vAlign w:val="bottom"/>
            <w:gridSpan w:val="2"/>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3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1,512</w:t>
            </w:r>
          </w:p>
        </w:tc>
        <w:tc>
          <w:tcPr>
            <w:tcW w:w="160" w:type="dxa"/>
            <w:vAlign w:val="bottom"/>
            <w:shd w:val="clear" w:color="auto" w:fill="CFF0FC"/>
          </w:tcPr>
          <w:p>
            <w:pPr>
              <w:spacing w:after="0"/>
              <w:rPr>
                <w:sz w:val="13"/>
                <w:szCs w:val="13"/>
                <w:color w:val="auto"/>
              </w:rPr>
            </w:pPr>
          </w:p>
        </w:tc>
        <w:tc>
          <w:tcPr>
            <w:tcW w:w="280" w:type="dxa"/>
            <w:vAlign w:val="bottom"/>
            <w:gridSpan w:val="2"/>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50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(14,875)</w:t>
            </w:r>
          </w:p>
        </w:tc>
      </w:tr>
      <w:tr>
        <w:trPr>
          <w:trHeight w:val="162"/>
        </w:trPr>
        <w:tc>
          <w:tcPr>
            <w:tcW w:w="4180" w:type="dxa"/>
            <w:vAlign w:val="bottom"/>
          </w:tcPr>
          <w:p>
            <w:pPr>
              <w:spacing w:after="0"/>
              <w:rPr>
                <w:sz w:val="20"/>
                <w:szCs w:val="20"/>
                <w:color w:val="auto"/>
              </w:rPr>
            </w:pPr>
            <w:r>
              <w:rPr>
                <w:rFonts w:ascii="Arial" w:cs="Arial" w:eastAsia="Arial" w:hAnsi="Arial"/>
                <w:sz w:val="14"/>
                <w:szCs w:val="14"/>
                <w:color w:val="auto"/>
              </w:rPr>
              <w:t>Brazil</w:t>
            </w:r>
          </w:p>
        </w:tc>
        <w:tc>
          <w:tcPr>
            <w:tcW w:w="1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2,751</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2,988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6,468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14,711</w:t>
            </w:r>
          </w:p>
        </w:tc>
        <w:tc>
          <w:tcPr>
            <w:tcW w:w="120" w:type="dxa"/>
            <w:vAlign w:val="bottom"/>
          </w:tcPr>
          <w:p>
            <w:pPr>
              <w:spacing w:after="0"/>
              <w:rPr>
                <w:sz w:val="14"/>
                <w:szCs w:val="14"/>
                <w:color w:val="auto"/>
              </w:rPr>
            </w:pPr>
          </w:p>
        </w:tc>
      </w:tr>
      <w:tr>
        <w:trPr>
          <w:trHeight w:val="162"/>
        </w:trPr>
        <w:tc>
          <w:tcPr>
            <w:tcW w:w="4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Asia</w:t>
            </w:r>
          </w:p>
        </w:tc>
        <w:tc>
          <w:tcPr>
            <w:tcW w:w="16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2,743</w:t>
            </w:r>
          </w:p>
        </w:tc>
        <w:tc>
          <w:tcPr>
            <w:tcW w:w="2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3,524</w:t>
            </w:r>
          </w:p>
        </w:tc>
        <w:tc>
          <w:tcPr>
            <w:tcW w:w="1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8,135</w:t>
            </w:r>
          </w:p>
        </w:tc>
        <w:tc>
          <w:tcPr>
            <w:tcW w:w="1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9,711</w:t>
            </w:r>
          </w:p>
        </w:tc>
        <w:tc>
          <w:tcPr>
            <w:tcW w:w="120" w:type="dxa"/>
            <w:vAlign w:val="bottom"/>
            <w:tcBorders>
              <w:bottom w:val="single" w:sz="8" w:color="CFF0FC"/>
            </w:tcBorders>
            <w:shd w:val="clear" w:color="auto" w:fill="CFF0FC"/>
          </w:tcPr>
          <w:p>
            <w:pPr>
              <w:spacing w:after="0"/>
              <w:rPr>
                <w:sz w:val="14"/>
                <w:szCs w:val="14"/>
                <w:color w:val="auto"/>
              </w:rPr>
            </w:pPr>
          </w:p>
        </w:tc>
      </w:tr>
      <w:tr>
        <w:trPr>
          <w:trHeight w:val="156"/>
        </w:trPr>
        <w:tc>
          <w:tcPr>
            <w:tcW w:w="4180" w:type="dxa"/>
            <w:vAlign w:val="bottom"/>
          </w:tcPr>
          <w:p>
            <w:pPr>
              <w:spacing w:after="0" w:line="155" w:lineRule="exact"/>
              <w:rPr>
                <w:sz w:val="20"/>
                <w:szCs w:val="20"/>
                <w:color w:val="auto"/>
              </w:rPr>
            </w:pPr>
            <w:r>
              <w:rPr>
                <w:rFonts w:ascii="Arial" w:cs="Arial" w:eastAsia="Arial" w:hAnsi="Arial"/>
                <w:sz w:val="14"/>
                <w:szCs w:val="14"/>
                <w:color w:val="auto"/>
              </w:rPr>
              <w:t>Segment gross profit (loss)</w:t>
            </w:r>
          </w:p>
        </w:tc>
        <w:tc>
          <w:tcPr>
            <w:tcW w:w="160" w:type="dxa"/>
            <w:vAlign w:val="bottom"/>
          </w:tcPr>
          <w:p>
            <w:pPr>
              <w:spacing w:after="0"/>
              <w:rPr>
                <w:sz w:val="13"/>
                <w:szCs w:val="13"/>
                <w:color w:val="auto"/>
              </w:rPr>
            </w:pPr>
          </w:p>
        </w:tc>
        <w:tc>
          <w:tcPr>
            <w:tcW w:w="1360" w:type="dxa"/>
            <w:vAlign w:val="bottom"/>
          </w:tcPr>
          <w:p>
            <w:pPr>
              <w:jc w:val="right"/>
              <w:spacing w:after="0" w:line="155" w:lineRule="exact"/>
              <w:rPr>
                <w:sz w:val="20"/>
                <w:szCs w:val="20"/>
                <w:color w:val="auto"/>
              </w:rPr>
            </w:pPr>
            <w:r>
              <w:rPr>
                <w:rFonts w:ascii="Arial" w:cs="Arial" w:eastAsia="Arial" w:hAnsi="Arial"/>
                <w:sz w:val="14"/>
                <w:szCs w:val="14"/>
                <w:color w:val="auto"/>
              </w:rPr>
              <w:t>9,117</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(445)</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jc w:val="right"/>
              <w:spacing w:after="0" w:line="155" w:lineRule="exact"/>
              <w:rPr>
                <w:sz w:val="20"/>
                <w:szCs w:val="20"/>
                <w:color w:val="auto"/>
              </w:rPr>
            </w:pPr>
            <w:r>
              <w:rPr>
                <w:rFonts w:ascii="Arial" w:cs="Arial" w:eastAsia="Arial" w:hAnsi="Arial"/>
                <w:sz w:val="14"/>
                <w:szCs w:val="14"/>
                <w:color w:val="auto"/>
              </w:rPr>
              <w:t>16,115</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tcPr>
          <w:p>
            <w:pPr>
              <w:jc w:val="right"/>
              <w:spacing w:after="0" w:line="155" w:lineRule="exact"/>
              <w:rPr>
                <w:sz w:val="20"/>
                <w:szCs w:val="20"/>
                <w:color w:val="auto"/>
              </w:rPr>
            </w:pPr>
            <w:r>
              <w:rPr>
                <w:rFonts w:ascii="Arial" w:cs="Arial" w:eastAsia="Arial" w:hAnsi="Arial"/>
                <w:sz w:val="14"/>
                <w:szCs w:val="14"/>
                <w:color w:val="auto"/>
              </w:rPr>
              <w:t>9,547</w:t>
            </w:r>
          </w:p>
        </w:tc>
        <w:tc>
          <w:tcPr>
            <w:tcW w:w="120" w:type="dxa"/>
            <w:vAlign w:val="bottom"/>
          </w:tcPr>
          <w:p>
            <w:pPr>
              <w:spacing w:after="0"/>
              <w:rPr>
                <w:sz w:val="13"/>
                <w:szCs w:val="13"/>
                <w:color w:val="auto"/>
              </w:rPr>
            </w:pPr>
          </w:p>
        </w:tc>
      </w:tr>
      <w:tr>
        <w:trPr>
          <w:trHeight w:val="162"/>
        </w:trPr>
        <w:tc>
          <w:tcPr>
            <w:tcW w:w="4180" w:type="dxa"/>
            <w:vAlign w:val="bottom"/>
            <w:shd w:val="clear" w:color="auto" w:fill="CFF0FC"/>
          </w:tcPr>
          <w:p>
            <w:pPr>
              <w:spacing w:after="0"/>
              <w:rPr>
                <w:sz w:val="20"/>
                <w:szCs w:val="20"/>
                <w:color w:val="auto"/>
              </w:rPr>
            </w:pPr>
            <w:r>
              <w:rPr>
                <w:rFonts w:ascii="Arial" w:cs="Arial" w:eastAsia="Arial" w:hAnsi="Arial"/>
                <w:sz w:val="14"/>
                <w:szCs w:val="14"/>
                <w:color w:val="auto"/>
              </w:rPr>
              <w:t>Selling, general and administrative expenses</w:t>
            </w:r>
          </w:p>
        </w:tc>
        <w:tc>
          <w:tcPr>
            <w:tcW w:w="16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11,188</w:t>
            </w: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12,295</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32,849</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37,058</w:t>
            </w:r>
          </w:p>
        </w:tc>
        <w:tc>
          <w:tcPr>
            <w:tcW w:w="120" w:type="dxa"/>
            <w:vAlign w:val="bottom"/>
            <w:shd w:val="clear" w:color="auto" w:fill="CFF0FC"/>
          </w:tcPr>
          <w:p>
            <w:pPr>
              <w:spacing w:after="0"/>
              <w:rPr>
                <w:sz w:val="14"/>
                <w:szCs w:val="14"/>
                <w:color w:val="auto"/>
              </w:rPr>
            </w:pPr>
          </w:p>
        </w:tc>
      </w:tr>
      <w:tr>
        <w:trPr>
          <w:trHeight w:val="162"/>
        </w:trPr>
        <w:tc>
          <w:tcPr>
            <w:tcW w:w="4180" w:type="dxa"/>
            <w:vAlign w:val="bottom"/>
          </w:tcPr>
          <w:p>
            <w:pPr>
              <w:spacing w:after="0"/>
              <w:rPr>
                <w:sz w:val="20"/>
                <w:szCs w:val="20"/>
                <w:color w:val="auto"/>
              </w:rPr>
            </w:pPr>
            <w:r>
              <w:rPr>
                <w:rFonts w:ascii="Arial" w:cs="Arial" w:eastAsia="Arial" w:hAnsi="Arial"/>
                <w:sz w:val="14"/>
                <w:szCs w:val="14"/>
                <w:color w:val="auto"/>
              </w:rPr>
              <w:t>Benefit for bad debts</w:t>
            </w:r>
          </w:p>
        </w:tc>
        <w:tc>
          <w:tcPr>
            <w:tcW w:w="160" w:type="dxa"/>
            <w:vAlign w:val="bottom"/>
          </w:tcPr>
          <w:p>
            <w:pPr>
              <w:spacing w:after="0"/>
              <w:rPr>
                <w:sz w:val="14"/>
                <w:szCs w:val="14"/>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4"/>
                <w:szCs w:val="14"/>
                <w:color w:val="auto"/>
              </w:rPr>
              <w:t>(294)</w:t>
            </w:r>
          </w:p>
        </w:tc>
        <w:tc>
          <w:tcPr>
            <w:tcW w:w="160" w:type="dxa"/>
            <w:vAlign w:val="bottom"/>
          </w:tcPr>
          <w:p>
            <w:pPr>
              <w:spacing w:after="0"/>
              <w:rPr>
                <w:sz w:val="14"/>
                <w:szCs w:val="14"/>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4"/>
                <w:szCs w:val="14"/>
                <w:color w:val="auto"/>
              </w:rPr>
              <w:t>(255)</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4"/>
                <w:szCs w:val="14"/>
                <w:color w:val="auto"/>
              </w:rPr>
              <w:t>(244)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4"/>
                <w:szCs w:val="14"/>
                <w:color w:val="auto"/>
              </w:rPr>
              <w:t>(39)</w:t>
            </w:r>
          </w:p>
        </w:tc>
      </w:tr>
      <w:tr>
        <w:trPr>
          <w:trHeight w:val="162"/>
        </w:trPr>
        <w:tc>
          <w:tcPr>
            <w:tcW w:w="4180" w:type="dxa"/>
            <w:vAlign w:val="bottom"/>
            <w:shd w:val="clear" w:color="auto" w:fill="CFF0FC"/>
          </w:tcPr>
          <w:p>
            <w:pPr>
              <w:spacing w:after="0"/>
              <w:rPr>
                <w:sz w:val="20"/>
                <w:szCs w:val="20"/>
                <w:color w:val="auto"/>
              </w:rPr>
            </w:pPr>
            <w:r>
              <w:rPr>
                <w:rFonts w:ascii="Arial" w:cs="Arial" w:eastAsia="Arial" w:hAnsi="Arial"/>
                <w:sz w:val="14"/>
                <w:szCs w:val="14"/>
                <w:color w:val="auto"/>
              </w:rPr>
              <w:t>Restructuring costs, net</w:t>
            </w:r>
          </w:p>
        </w:tc>
        <w:tc>
          <w:tcPr>
            <w:tcW w:w="160" w:type="dxa"/>
            <w:vAlign w:val="bottom"/>
            <w:shd w:val="clear" w:color="auto" w:fill="CFF0FC"/>
          </w:tcPr>
          <w:p>
            <w:pPr>
              <w:spacing w:after="0"/>
              <w:rPr>
                <w:sz w:val="14"/>
                <w:szCs w:val="14"/>
                <w:color w:val="auto"/>
              </w:rPr>
            </w:pPr>
          </w:p>
        </w:tc>
        <w:tc>
          <w:tcPr>
            <w:tcW w:w="164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1,320</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1,853</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1,320</w:t>
            </w:r>
          </w:p>
        </w:tc>
        <w:tc>
          <w:tcPr>
            <w:tcW w:w="120" w:type="dxa"/>
            <w:vAlign w:val="bottom"/>
            <w:shd w:val="clear" w:color="auto" w:fill="CFF0FC"/>
          </w:tcPr>
          <w:p>
            <w:pPr>
              <w:spacing w:after="0"/>
              <w:rPr>
                <w:sz w:val="14"/>
                <w:szCs w:val="14"/>
                <w:color w:val="auto"/>
              </w:rPr>
            </w:pPr>
          </w:p>
        </w:tc>
      </w:tr>
      <w:tr>
        <w:trPr>
          <w:trHeight w:val="162"/>
        </w:trPr>
        <w:tc>
          <w:tcPr>
            <w:tcW w:w="4180" w:type="dxa"/>
            <w:vAlign w:val="bottom"/>
          </w:tcPr>
          <w:p>
            <w:pPr>
              <w:spacing w:after="0"/>
              <w:rPr>
                <w:sz w:val="20"/>
                <w:szCs w:val="20"/>
                <w:color w:val="auto"/>
              </w:rPr>
            </w:pPr>
            <w:r>
              <w:rPr>
                <w:rFonts w:ascii="Arial" w:cs="Arial" w:eastAsia="Arial" w:hAnsi="Arial"/>
                <w:sz w:val="14"/>
                <w:szCs w:val="14"/>
                <w:color w:val="auto"/>
              </w:rPr>
              <w:t>Gain on sale of assets</w:t>
            </w:r>
          </w:p>
        </w:tc>
        <w:tc>
          <w:tcPr>
            <w:tcW w:w="160" w:type="dxa"/>
            <w:vAlign w:val="bottom"/>
          </w:tcPr>
          <w:p>
            <w:pPr>
              <w:spacing w:after="0"/>
              <w:rPr>
                <w:sz w:val="14"/>
                <w:szCs w:val="14"/>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4"/>
                <w:szCs w:val="14"/>
                <w:color w:val="auto"/>
              </w:rPr>
              <w:t>(4,296)</w:t>
            </w:r>
          </w:p>
        </w:tc>
      </w:tr>
      <w:tr>
        <w:trPr>
          <w:trHeight w:val="162"/>
        </w:trPr>
        <w:tc>
          <w:tcPr>
            <w:tcW w:w="4180" w:type="dxa"/>
            <w:vAlign w:val="bottom"/>
            <w:shd w:val="clear" w:color="auto" w:fill="CFF0FC"/>
          </w:tcPr>
          <w:p>
            <w:pPr>
              <w:spacing w:after="0"/>
              <w:rPr>
                <w:sz w:val="20"/>
                <w:szCs w:val="20"/>
                <w:color w:val="auto"/>
              </w:rPr>
            </w:pPr>
            <w:r>
              <w:rPr>
                <w:rFonts w:ascii="Arial" w:cs="Arial" w:eastAsia="Arial" w:hAnsi="Arial"/>
                <w:sz w:val="14"/>
                <w:szCs w:val="14"/>
                <w:color w:val="auto"/>
              </w:rPr>
              <w:t>Other operating (income) expense, net</w:t>
            </w:r>
          </w:p>
        </w:tc>
        <w:tc>
          <w:tcPr>
            <w:tcW w:w="160" w:type="dxa"/>
            <w:vAlign w:val="bottom"/>
            <w:shd w:val="clear" w:color="auto" w:fill="CFF0FC"/>
          </w:tcPr>
          <w:p>
            <w:pPr>
              <w:spacing w:after="0"/>
              <w:rPr>
                <w:sz w:val="14"/>
                <w:szCs w:val="14"/>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(1,660)</w:t>
            </w:r>
          </w:p>
        </w:tc>
        <w:tc>
          <w:tcPr>
            <w:tcW w:w="16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(1,317)</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144</w:t>
            </w:r>
          </w:p>
        </w:tc>
        <w:tc>
          <w:tcPr>
            <w:tcW w:w="120" w:type="dxa"/>
            <w:vAlign w:val="bottom"/>
            <w:shd w:val="clear" w:color="auto" w:fill="CFF0FC"/>
          </w:tcPr>
          <w:p>
            <w:pPr>
              <w:spacing w:after="0"/>
              <w:rPr>
                <w:sz w:val="14"/>
                <w:szCs w:val="14"/>
                <w:color w:val="auto"/>
              </w:rPr>
            </w:pPr>
          </w:p>
        </w:tc>
      </w:tr>
      <w:tr>
        <w:trPr>
          <w:trHeight w:val="20"/>
        </w:trPr>
        <w:tc>
          <w:tcPr>
            <w:tcW w:w="4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55"/>
        </w:trPr>
        <w:tc>
          <w:tcPr>
            <w:tcW w:w="4180" w:type="dxa"/>
            <w:vAlign w:val="bottom"/>
          </w:tcPr>
          <w:p>
            <w:pPr>
              <w:spacing w:after="0" w:line="155" w:lineRule="exact"/>
              <w:rPr>
                <w:sz w:val="20"/>
                <w:szCs w:val="20"/>
                <w:color w:val="auto"/>
              </w:rPr>
            </w:pPr>
            <w:r>
              <w:rPr>
                <w:rFonts w:ascii="Arial" w:cs="Arial" w:eastAsia="Arial" w:hAnsi="Arial"/>
                <w:sz w:val="14"/>
                <w:szCs w:val="14"/>
                <w:color w:val="auto"/>
              </w:rPr>
              <w:t>Operating loss</w:t>
            </w:r>
          </w:p>
        </w:tc>
        <w:tc>
          <w:tcPr>
            <w:tcW w:w="160" w:type="dxa"/>
            <w:vAlign w:val="bottom"/>
          </w:tcPr>
          <w:p>
            <w:pPr>
              <w:spacing w:after="0"/>
              <w:rPr>
                <w:sz w:val="13"/>
                <w:szCs w:val="13"/>
                <w:color w:val="auto"/>
              </w:rPr>
            </w:pPr>
          </w:p>
        </w:tc>
        <w:tc>
          <w:tcPr>
            <w:tcW w:w="164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(117)</w:t>
            </w:r>
          </w:p>
        </w:tc>
        <w:tc>
          <w:tcPr>
            <w:tcW w:w="160" w:type="dxa"/>
            <w:vAlign w:val="bottom"/>
          </w:tcPr>
          <w:p>
            <w:pPr>
              <w:spacing w:after="0"/>
              <w:rPr>
                <w:sz w:val="13"/>
                <w:szCs w:val="13"/>
                <w:color w:val="auto"/>
              </w:rPr>
            </w:pPr>
          </w:p>
        </w:tc>
        <w:tc>
          <w:tcPr>
            <w:tcW w:w="152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(13,860)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(17,026)</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(24,640)</w:t>
            </w:r>
          </w:p>
        </w:tc>
      </w:tr>
      <w:tr>
        <w:trPr>
          <w:trHeight w:val="162"/>
        </w:trPr>
        <w:tc>
          <w:tcPr>
            <w:tcW w:w="4180" w:type="dxa"/>
            <w:vAlign w:val="bottom"/>
            <w:shd w:val="clear" w:color="auto" w:fill="CFF0FC"/>
          </w:tcPr>
          <w:p>
            <w:pPr>
              <w:spacing w:after="0"/>
              <w:rPr>
                <w:sz w:val="20"/>
                <w:szCs w:val="20"/>
                <w:color w:val="auto"/>
              </w:rPr>
            </w:pPr>
            <w:r>
              <w:rPr>
                <w:rFonts w:ascii="Arial" w:cs="Arial" w:eastAsia="Arial" w:hAnsi="Arial"/>
                <w:sz w:val="14"/>
                <w:szCs w:val="14"/>
                <w:color w:val="auto"/>
              </w:rPr>
              <w:t>Interest income</w:t>
            </w:r>
          </w:p>
        </w:tc>
        <w:tc>
          <w:tcPr>
            <w:tcW w:w="160" w:type="dxa"/>
            <w:vAlign w:val="bottom"/>
            <w:shd w:val="clear" w:color="auto" w:fill="CFF0FC"/>
          </w:tcPr>
          <w:p>
            <w:pPr>
              <w:spacing w:after="0"/>
              <w:rPr>
                <w:sz w:val="14"/>
                <w:szCs w:val="14"/>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(446)</w:t>
            </w:r>
          </w:p>
        </w:tc>
        <w:tc>
          <w:tcPr>
            <w:tcW w:w="160" w:type="dxa"/>
            <w:vAlign w:val="bottom"/>
            <w:shd w:val="clear" w:color="auto" w:fill="CFF0FC"/>
          </w:tcPr>
          <w:p>
            <w:pPr>
              <w:spacing w:after="0"/>
              <w:rPr>
                <w:sz w:val="14"/>
                <w:szCs w:val="14"/>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(198)</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(1,294)</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(632)</w:t>
            </w:r>
          </w:p>
        </w:tc>
      </w:tr>
      <w:tr>
        <w:trPr>
          <w:trHeight w:val="162"/>
        </w:trPr>
        <w:tc>
          <w:tcPr>
            <w:tcW w:w="4180" w:type="dxa"/>
            <w:vAlign w:val="bottom"/>
          </w:tcPr>
          <w:p>
            <w:pPr>
              <w:spacing w:after="0"/>
              <w:rPr>
                <w:sz w:val="20"/>
                <w:szCs w:val="20"/>
                <w:color w:val="auto"/>
              </w:rPr>
            </w:pPr>
            <w:r>
              <w:rPr>
                <w:rFonts w:ascii="Arial" w:cs="Arial" w:eastAsia="Arial" w:hAnsi="Arial"/>
                <w:sz w:val="14"/>
                <w:szCs w:val="14"/>
                <w:color w:val="auto"/>
              </w:rPr>
              <w:t>Interest expense</w:t>
            </w:r>
          </w:p>
        </w:tc>
        <w:tc>
          <w:tcPr>
            <w:tcW w:w="1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1,559</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2,417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5,364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7,322</w:t>
            </w:r>
          </w:p>
        </w:tc>
        <w:tc>
          <w:tcPr>
            <w:tcW w:w="120" w:type="dxa"/>
            <w:vAlign w:val="bottom"/>
          </w:tcPr>
          <w:p>
            <w:pPr>
              <w:spacing w:after="0"/>
              <w:rPr>
                <w:sz w:val="14"/>
                <w:szCs w:val="14"/>
                <w:color w:val="auto"/>
              </w:rPr>
            </w:pPr>
          </w:p>
        </w:tc>
      </w:tr>
      <w:tr>
        <w:trPr>
          <w:trHeight w:val="162"/>
        </w:trPr>
        <w:tc>
          <w:tcPr>
            <w:tcW w:w="4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Equity in loss of unconsolidated affiliate</w:t>
            </w:r>
          </w:p>
        </w:tc>
        <w:tc>
          <w:tcPr>
            <w:tcW w:w="16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240</w:t>
            </w:r>
          </w:p>
        </w:tc>
        <w:tc>
          <w:tcPr>
            <w:tcW w:w="2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216</w:t>
            </w:r>
          </w:p>
        </w:tc>
        <w:tc>
          <w:tcPr>
            <w:tcW w:w="1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289</w:t>
            </w:r>
          </w:p>
        </w:tc>
        <w:tc>
          <w:tcPr>
            <w:tcW w:w="1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467</w:t>
            </w:r>
          </w:p>
        </w:tc>
        <w:tc>
          <w:tcPr>
            <w:tcW w:w="120" w:type="dxa"/>
            <w:vAlign w:val="bottom"/>
            <w:tcBorders>
              <w:bottom w:val="single" w:sz="8" w:color="CFF0FC"/>
            </w:tcBorders>
            <w:shd w:val="clear" w:color="auto" w:fill="CFF0FC"/>
          </w:tcPr>
          <w:p>
            <w:pPr>
              <w:spacing w:after="0"/>
              <w:rPr>
                <w:sz w:val="14"/>
                <w:szCs w:val="14"/>
                <w:color w:val="auto"/>
              </w:rPr>
            </w:pPr>
          </w:p>
        </w:tc>
      </w:tr>
      <w:tr>
        <w:trPr>
          <w:trHeight w:val="156"/>
        </w:trPr>
        <w:tc>
          <w:tcPr>
            <w:tcW w:w="4180" w:type="dxa"/>
            <w:vAlign w:val="bottom"/>
          </w:tcPr>
          <w:p>
            <w:pPr>
              <w:spacing w:after="0" w:line="155" w:lineRule="exact"/>
              <w:rPr>
                <w:sz w:val="20"/>
                <w:szCs w:val="20"/>
                <w:color w:val="auto"/>
              </w:rPr>
            </w:pPr>
            <w:r>
              <w:rPr>
                <w:rFonts w:ascii="Arial" w:cs="Arial" w:eastAsia="Arial" w:hAnsi="Arial"/>
                <w:sz w:val="14"/>
                <w:szCs w:val="14"/>
                <w:color w:val="auto"/>
              </w:rPr>
              <w:t>Loss before income taxes</w:t>
            </w:r>
          </w:p>
        </w:tc>
        <w:tc>
          <w:tcPr>
            <w:tcW w:w="16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(1,470)</w:t>
            </w:r>
          </w:p>
        </w:tc>
        <w:tc>
          <w:tcPr>
            <w:tcW w:w="280" w:type="dxa"/>
            <w:vAlign w:val="bottom"/>
          </w:tcPr>
          <w:p>
            <w:pPr>
              <w:spacing w:after="0"/>
              <w:rPr>
                <w:sz w:val="13"/>
                <w:szCs w:val="13"/>
                <w:color w:val="auto"/>
              </w:rPr>
            </w:pPr>
          </w:p>
        </w:tc>
        <w:tc>
          <w:tcPr>
            <w:tcW w:w="16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(16,295)</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(21,385)</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(31,797)</w:t>
            </w:r>
          </w:p>
        </w:tc>
        <w:tc>
          <w:tcPr>
            <w:tcW w:w="120" w:type="dxa"/>
            <w:vAlign w:val="bottom"/>
          </w:tcPr>
          <w:p>
            <w:pPr>
              <w:spacing w:after="0"/>
              <w:rPr>
                <w:sz w:val="13"/>
                <w:szCs w:val="13"/>
                <w:color w:val="auto"/>
              </w:rPr>
            </w:pPr>
          </w:p>
        </w:tc>
      </w:tr>
      <w:tr>
        <w:trPr>
          <w:trHeight w:val="20"/>
        </w:trPr>
        <w:tc>
          <w:tcPr>
            <w:tcW w:w="4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-1182370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-1182370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-1182370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-1182370</wp:posOffset>
            </wp:positionV>
            <wp:extent cx="7747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-556895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-556895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-556895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-556895</wp:posOffset>
            </wp:positionV>
            <wp:extent cx="7747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-136525</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-136525</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-136525</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-136525</wp:posOffset>
            </wp:positionV>
            <wp:extent cx="7747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The reconciliations of segment depreciation and amortization expense to consolidated depreciation and amortization expense are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60" w:type="dxa"/>
            <w:vAlign w:val="bottom"/>
            <w:gridSpan w:val="4"/>
          </w:tcPr>
          <w:p>
            <w:pPr>
              <w:jc w:val="right"/>
              <w:ind w:right="628"/>
              <w:spacing w:after="0"/>
              <w:rPr>
                <w:sz w:val="20"/>
                <w:szCs w:val="20"/>
                <w:color w:val="auto"/>
              </w:rPr>
            </w:pPr>
            <w:r>
              <w:rPr>
                <w:rFonts w:ascii="Arial" w:cs="Arial" w:eastAsia="Arial" w:hAnsi="Arial"/>
                <w:sz w:val="14"/>
                <w:szCs w:val="14"/>
                <w:b w:val="1"/>
                <w:bCs w:val="1"/>
                <w:color w:val="auto"/>
              </w:rPr>
              <w:t>For the Three Months Ended</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00" w:type="dxa"/>
            <w:vAlign w:val="bottom"/>
            <w:gridSpan w:val="5"/>
          </w:tcPr>
          <w:p>
            <w:pPr>
              <w:ind w:left="560"/>
              <w:spacing w:after="0"/>
              <w:rPr>
                <w:sz w:val="20"/>
                <w:szCs w:val="20"/>
                <w:color w:val="auto"/>
              </w:rPr>
            </w:pPr>
            <w:r>
              <w:rPr>
                <w:rFonts w:ascii="Arial" w:cs="Arial" w:eastAsia="Arial" w:hAnsi="Arial"/>
                <w:sz w:val="14"/>
                <w:szCs w:val="14"/>
                <w:b w:val="1"/>
                <w:bCs w:val="1"/>
                <w:color w:val="auto"/>
              </w:rPr>
              <w:t>For the Nine Months Ended</w:t>
            </w:r>
          </w:p>
        </w:tc>
      </w:tr>
      <w:tr>
        <w:trPr>
          <w:trHeight w:val="155"/>
        </w:trPr>
        <w:tc>
          <w:tcPr>
            <w:tcW w:w="41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March 29, 2026</w:t>
            </w:r>
          </w:p>
        </w:tc>
        <w:tc>
          <w:tcPr>
            <w:tcW w:w="28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March 30, 2025</w:t>
            </w:r>
          </w:p>
        </w:tc>
        <w:tc>
          <w:tcPr>
            <w:tcW w:w="2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March 29, 2026</w:t>
            </w:r>
          </w:p>
        </w:tc>
        <w:tc>
          <w:tcPr>
            <w:tcW w:w="28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8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March 30, 2025</w:t>
            </w:r>
          </w:p>
        </w:tc>
        <w:tc>
          <w:tcPr>
            <w:tcW w:w="120" w:type="dxa"/>
            <w:vAlign w:val="bottom"/>
          </w:tcPr>
          <w:p>
            <w:pPr>
              <w:spacing w:after="0"/>
              <w:rPr>
                <w:sz w:val="13"/>
                <w:szCs w:val="13"/>
                <w:color w:val="auto"/>
              </w:rPr>
            </w:pPr>
          </w:p>
        </w:tc>
      </w:tr>
      <w:tr>
        <w:trPr>
          <w:trHeight w:val="156"/>
        </w:trPr>
        <w:tc>
          <w:tcPr>
            <w:tcW w:w="418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Americas</w:t>
            </w:r>
          </w:p>
        </w:tc>
        <w:tc>
          <w:tcPr>
            <w:tcW w:w="160" w:type="dxa"/>
            <w:vAlign w:val="bottom"/>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3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4,942</w:t>
            </w:r>
          </w:p>
        </w:tc>
        <w:tc>
          <w:tcPr>
            <w:tcW w:w="440" w:type="dxa"/>
            <w:vAlign w:val="bottom"/>
            <w:gridSpan w:val="2"/>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3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5,251</w:t>
            </w:r>
          </w:p>
        </w:tc>
        <w:tc>
          <w:tcPr>
            <w:tcW w:w="440" w:type="dxa"/>
            <w:vAlign w:val="bottom"/>
            <w:gridSpan w:val="2"/>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3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14,764</w:t>
            </w:r>
          </w:p>
        </w:tc>
        <w:tc>
          <w:tcPr>
            <w:tcW w:w="440" w:type="dxa"/>
            <w:vAlign w:val="bottom"/>
            <w:gridSpan w:val="2"/>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3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15,995</w:t>
            </w:r>
          </w:p>
        </w:tc>
        <w:tc>
          <w:tcPr>
            <w:tcW w:w="120" w:type="dxa"/>
            <w:vAlign w:val="bottom"/>
            <w:shd w:val="clear" w:color="auto" w:fill="CFF0FC"/>
          </w:tcPr>
          <w:p>
            <w:pPr>
              <w:spacing w:after="0"/>
              <w:rPr>
                <w:sz w:val="13"/>
                <w:szCs w:val="13"/>
                <w:color w:val="auto"/>
              </w:rPr>
            </w:pPr>
          </w:p>
        </w:tc>
      </w:tr>
      <w:tr>
        <w:trPr>
          <w:trHeight w:val="162"/>
        </w:trPr>
        <w:tc>
          <w:tcPr>
            <w:tcW w:w="4180" w:type="dxa"/>
            <w:vAlign w:val="bottom"/>
          </w:tcPr>
          <w:p>
            <w:pPr>
              <w:spacing w:after="0"/>
              <w:rPr>
                <w:sz w:val="20"/>
                <w:szCs w:val="20"/>
                <w:color w:val="auto"/>
              </w:rPr>
            </w:pPr>
            <w:r>
              <w:rPr>
                <w:rFonts w:ascii="Arial" w:cs="Arial" w:eastAsia="Arial" w:hAnsi="Arial"/>
                <w:sz w:val="14"/>
                <w:szCs w:val="14"/>
                <w:color w:val="auto"/>
              </w:rPr>
              <w:t>Brazil</w:t>
            </w:r>
          </w:p>
        </w:tc>
        <w:tc>
          <w:tcPr>
            <w:tcW w:w="1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929</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701</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2,412</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2,044</w:t>
            </w:r>
          </w:p>
        </w:tc>
        <w:tc>
          <w:tcPr>
            <w:tcW w:w="120" w:type="dxa"/>
            <w:vAlign w:val="bottom"/>
          </w:tcPr>
          <w:p>
            <w:pPr>
              <w:spacing w:after="0"/>
              <w:rPr>
                <w:sz w:val="14"/>
                <w:szCs w:val="14"/>
                <w:color w:val="auto"/>
              </w:rPr>
            </w:pPr>
          </w:p>
        </w:tc>
      </w:tr>
      <w:tr>
        <w:trPr>
          <w:trHeight w:val="162"/>
        </w:trPr>
        <w:tc>
          <w:tcPr>
            <w:tcW w:w="4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Asia</w:t>
            </w:r>
          </w:p>
        </w:tc>
        <w:tc>
          <w:tcPr>
            <w:tcW w:w="16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w:t>
            </w:r>
          </w:p>
        </w:tc>
        <w:tc>
          <w:tcPr>
            <w:tcW w:w="2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w:t>
            </w:r>
          </w:p>
        </w:tc>
        <w:tc>
          <w:tcPr>
            <w:tcW w:w="2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42</w:t>
            </w:r>
          </w:p>
        </w:tc>
        <w:tc>
          <w:tcPr>
            <w:tcW w:w="2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44</w:t>
            </w:r>
          </w:p>
        </w:tc>
        <w:tc>
          <w:tcPr>
            <w:tcW w:w="120" w:type="dxa"/>
            <w:vAlign w:val="bottom"/>
            <w:tcBorders>
              <w:bottom w:val="single" w:sz="8" w:color="CFF0FC"/>
            </w:tcBorders>
            <w:shd w:val="clear" w:color="auto" w:fill="CFF0FC"/>
          </w:tcPr>
          <w:p>
            <w:pPr>
              <w:spacing w:after="0"/>
              <w:rPr>
                <w:sz w:val="14"/>
                <w:szCs w:val="14"/>
                <w:color w:val="auto"/>
              </w:rPr>
            </w:pPr>
          </w:p>
        </w:tc>
      </w:tr>
      <w:tr>
        <w:trPr>
          <w:trHeight w:val="155"/>
        </w:trPr>
        <w:tc>
          <w:tcPr>
            <w:tcW w:w="4180" w:type="dxa"/>
            <w:vAlign w:val="bottom"/>
          </w:tcPr>
          <w:p>
            <w:pPr>
              <w:spacing w:after="0" w:line="155" w:lineRule="exact"/>
              <w:rPr>
                <w:sz w:val="20"/>
                <w:szCs w:val="20"/>
                <w:color w:val="auto"/>
              </w:rPr>
            </w:pPr>
            <w:r>
              <w:rPr>
                <w:rFonts w:ascii="Arial" w:cs="Arial" w:eastAsia="Arial" w:hAnsi="Arial"/>
                <w:sz w:val="14"/>
                <w:szCs w:val="14"/>
                <w:color w:val="auto"/>
              </w:rPr>
              <w:t>Segment depreciation expense</w:t>
            </w:r>
          </w:p>
        </w:tc>
        <w:tc>
          <w:tcPr>
            <w:tcW w:w="160" w:type="dxa"/>
            <w:vAlign w:val="bottom"/>
          </w:tcPr>
          <w:p>
            <w:pPr>
              <w:spacing w:after="0"/>
              <w:rPr>
                <w:sz w:val="13"/>
                <w:szCs w:val="13"/>
                <w:color w:val="auto"/>
              </w:rPr>
            </w:pPr>
          </w:p>
        </w:tc>
        <w:tc>
          <w:tcPr>
            <w:tcW w:w="1360" w:type="dxa"/>
            <w:vAlign w:val="bottom"/>
          </w:tcPr>
          <w:p>
            <w:pPr>
              <w:jc w:val="right"/>
              <w:spacing w:after="0" w:line="155" w:lineRule="exact"/>
              <w:rPr>
                <w:sz w:val="20"/>
                <w:szCs w:val="20"/>
                <w:color w:val="auto"/>
              </w:rPr>
            </w:pPr>
            <w:r>
              <w:rPr>
                <w:rFonts w:ascii="Arial" w:cs="Arial" w:eastAsia="Arial" w:hAnsi="Arial"/>
                <w:sz w:val="14"/>
                <w:szCs w:val="14"/>
                <w:color w:val="auto"/>
              </w:rPr>
              <w:t>5,886</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jc w:val="right"/>
              <w:spacing w:after="0" w:line="155" w:lineRule="exact"/>
              <w:rPr>
                <w:sz w:val="20"/>
                <w:szCs w:val="20"/>
                <w:color w:val="auto"/>
              </w:rPr>
            </w:pPr>
            <w:r>
              <w:rPr>
                <w:rFonts w:ascii="Arial" w:cs="Arial" w:eastAsia="Arial" w:hAnsi="Arial"/>
                <w:sz w:val="14"/>
                <w:szCs w:val="14"/>
                <w:color w:val="auto"/>
              </w:rPr>
              <w:t>5,965</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jc w:val="right"/>
              <w:spacing w:after="0" w:line="155" w:lineRule="exact"/>
              <w:rPr>
                <w:sz w:val="20"/>
                <w:szCs w:val="20"/>
                <w:color w:val="auto"/>
              </w:rPr>
            </w:pPr>
            <w:r>
              <w:rPr>
                <w:rFonts w:ascii="Arial" w:cs="Arial" w:eastAsia="Arial" w:hAnsi="Arial"/>
                <w:sz w:val="14"/>
                <w:szCs w:val="14"/>
                <w:color w:val="auto"/>
              </w:rPr>
              <w:t>17,218</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tcPr>
          <w:p>
            <w:pPr>
              <w:jc w:val="right"/>
              <w:spacing w:after="0" w:line="155" w:lineRule="exact"/>
              <w:rPr>
                <w:sz w:val="20"/>
                <w:szCs w:val="20"/>
                <w:color w:val="auto"/>
              </w:rPr>
            </w:pPr>
            <w:r>
              <w:rPr>
                <w:rFonts w:ascii="Arial" w:cs="Arial" w:eastAsia="Arial" w:hAnsi="Arial"/>
                <w:sz w:val="14"/>
                <w:szCs w:val="14"/>
                <w:color w:val="auto"/>
              </w:rPr>
              <w:t>18,083</w:t>
            </w:r>
          </w:p>
        </w:tc>
        <w:tc>
          <w:tcPr>
            <w:tcW w:w="120" w:type="dxa"/>
            <w:vAlign w:val="bottom"/>
          </w:tcPr>
          <w:p>
            <w:pPr>
              <w:spacing w:after="0"/>
              <w:rPr>
                <w:sz w:val="13"/>
                <w:szCs w:val="13"/>
                <w:color w:val="auto"/>
              </w:rPr>
            </w:pPr>
          </w:p>
        </w:tc>
      </w:tr>
      <w:tr>
        <w:trPr>
          <w:trHeight w:val="162"/>
        </w:trPr>
        <w:tc>
          <w:tcPr>
            <w:tcW w:w="4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Other depreciation and amortization expense</w:t>
            </w:r>
          </w:p>
        </w:tc>
        <w:tc>
          <w:tcPr>
            <w:tcW w:w="16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289</w:t>
            </w:r>
          </w:p>
        </w:tc>
        <w:tc>
          <w:tcPr>
            <w:tcW w:w="2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354</w:t>
            </w:r>
          </w:p>
        </w:tc>
        <w:tc>
          <w:tcPr>
            <w:tcW w:w="2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882</w:t>
            </w:r>
          </w:p>
        </w:tc>
        <w:tc>
          <w:tcPr>
            <w:tcW w:w="2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1,117</w:t>
            </w:r>
          </w:p>
        </w:tc>
        <w:tc>
          <w:tcPr>
            <w:tcW w:w="120" w:type="dxa"/>
            <w:vAlign w:val="bottom"/>
            <w:tcBorders>
              <w:bottom w:val="single" w:sz="8" w:color="CFF0FC"/>
            </w:tcBorders>
            <w:shd w:val="clear" w:color="auto" w:fill="CFF0FC"/>
          </w:tcPr>
          <w:p>
            <w:pPr>
              <w:spacing w:after="0"/>
              <w:rPr>
                <w:sz w:val="14"/>
                <w:szCs w:val="14"/>
                <w:color w:val="auto"/>
              </w:rPr>
            </w:pPr>
          </w:p>
        </w:tc>
      </w:tr>
      <w:tr>
        <w:trPr>
          <w:trHeight w:val="155"/>
        </w:trPr>
        <w:tc>
          <w:tcPr>
            <w:tcW w:w="4180" w:type="dxa"/>
            <w:vAlign w:val="bottom"/>
          </w:tcPr>
          <w:p>
            <w:pPr>
              <w:spacing w:after="0" w:line="155" w:lineRule="exact"/>
              <w:rPr>
                <w:sz w:val="20"/>
                <w:szCs w:val="20"/>
                <w:color w:val="auto"/>
              </w:rPr>
            </w:pPr>
            <w:r>
              <w:rPr>
                <w:rFonts w:ascii="Arial" w:cs="Arial" w:eastAsia="Arial" w:hAnsi="Arial"/>
                <w:sz w:val="14"/>
                <w:szCs w:val="14"/>
                <w:color w:val="auto"/>
              </w:rPr>
              <w:t>Depreciation and amortization expense</w:t>
            </w:r>
          </w:p>
        </w:tc>
        <w:tc>
          <w:tcPr>
            <w:tcW w:w="16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6,175</w:t>
            </w:r>
          </w:p>
        </w:tc>
        <w:tc>
          <w:tcPr>
            <w:tcW w:w="280" w:type="dxa"/>
            <w:vAlign w:val="bottom"/>
          </w:tcPr>
          <w:p>
            <w:pPr>
              <w:spacing w:after="0"/>
              <w:rPr>
                <w:sz w:val="13"/>
                <w:szCs w:val="13"/>
                <w:color w:val="auto"/>
              </w:rPr>
            </w:pPr>
          </w:p>
        </w:tc>
        <w:tc>
          <w:tcPr>
            <w:tcW w:w="16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6,319</w:t>
            </w:r>
          </w:p>
        </w:tc>
        <w:tc>
          <w:tcPr>
            <w:tcW w:w="280" w:type="dxa"/>
            <w:vAlign w:val="bottom"/>
          </w:tcPr>
          <w:p>
            <w:pPr>
              <w:spacing w:after="0"/>
              <w:rPr>
                <w:sz w:val="13"/>
                <w:szCs w:val="13"/>
                <w:color w:val="auto"/>
              </w:rPr>
            </w:pPr>
          </w:p>
        </w:tc>
        <w:tc>
          <w:tcPr>
            <w:tcW w:w="16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18,100</w:t>
            </w:r>
          </w:p>
        </w:tc>
        <w:tc>
          <w:tcPr>
            <w:tcW w:w="280" w:type="dxa"/>
            <w:vAlign w:val="bottom"/>
          </w:tcPr>
          <w:p>
            <w:pPr>
              <w:spacing w:after="0"/>
              <w:rPr>
                <w:sz w:val="13"/>
                <w:szCs w:val="13"/>
                <w:color w:val="auto"/>
              </w:rPr>
            </w:pPr>
          </w:p>
        </w:tc>
        <w:tc>
          <w:tcPr>
            <w:tcW w:w="16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19,200</w:t>
            </w:r>
          </w:p>
        </w:tc>
        <w:tc>
          <w:tcPr>
            <w:tcW w:w="120" w:type="dxa"/>
            <w:vAlign w:val="bottom"/>
          </w:tcPr>
          <w:p>
            <w:pPr>
              <w:spacing w:after="0"/>
              <w:rPr>
                <w:sz w:val="13"/>
                <w:szCs w:val="13"/>
                <w:color w:val="auto"/>
              </w:rPr>
            </w:pPr>
          </w:p>
        </w:tc>
      </w:tr>
      <w:tr>
        <w:trPr>
          <w:trHeight w:val="20"/>
        </w:trPr>
        <w:tc>
          <w:tcPr>
            <w:tcW w:w="4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-350520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-350520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-350520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-350520</wp:posOffset>
            </wp:positionV>
            <wp:extent cx="7747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-136525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-136525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-136525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-136525</wp:posOffset>
            </wp:positionV>
            <wp:extent cx="7747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The reconciliations of segment capital expenditures to consolidated capital expenditures are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3320" w:type="dxa"/>
            <w:vAlign w:val="bottom"/>
            <w:gridSpan w:val="5"/>
          </w:tcPr>
          <w:p>
            <w:pPr>
              <w:jc w:val="right"/>
              <w:ind w:right="628"/>
              <w:spacing w:after="0"/>
              <w:rPr>
                <w:sz w:val="20"/>
                <w:szCs w:val="20"/>
                <w:color w:val="auto"/>
              </w:rPr>
            </w:pPr>
            <w:r>
              <w:rPr>
                <w:rFonts w:ascii="Arial" w:cs="Arial" w:eastAsia="Arial" w:hAnsi="Arial"/>
                <w:sz w:val="14"/>
                <w:szCs w:val="14"/>
                <w:b w:val="1"/>
                <w:bCs w:val="1"/>
                <w:color w:val="auto"/>
              </w:rPr>
              <w:t>For the Three Months Ended</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00" w:type="dxa"/>
            <w:vAlign w:val="bottom"/>
            <w:gridSpan w:val="5"/>
          </w:tcPr>
          <w:p>
            <w:pPr>
              <w:ind w:left="560"/>
              <w:spacing w:after="0"/>
              <w:rPr>
                <w:sz w:val="20"/>
                <w:szCs w:val="20"/>
                <w:color w:val="auto"/>
              </w:rPr>
            </w:pPr>
            <w:r>
              <w:rPr>
                <w:rFonts w:ascii="Arial" w:cs="Arial" w:eastAsia="Arial" w:hAnsi="Arial"/>
                <w:sz w:val="14"/>
                <w:szCs w:val="14"/>
                <w:b w:val="1"/>
                <w:bCs w:val="1"/>
                <w:color w:val="auto"/>
              </w:rPr>
              <w:t>For the Nine Months Ended</w:t>
            </w:r>
          </w:p>
        </w:tc>
      </w:tr>
      <w:tr>
        <w:trPr>
          <w:trHeight w:val="155"/>
        </w:trPr>
        <w:tc>
          <w:tcPr>
            <w:tcW w:w="4180" w:type="dxa"/>
            <w:vAlign w:val="bottom"/>
          </w:tcPr>
          <w:p>
            <w:pPr>
              <w:spacing w:after="0"/>
              <w:rPr>
                <w:sz w:val="13"/>
                <w:szCs w:val="13"/>
                <w:color w:val="auto"/>
              </w:rPr>
            </w:pPr>
          </w:p>
        </w:tc>
        <w:tc>
          <w:tcPr>
            <w:tcW w:w="12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March 29, 2026</w:t>
            </w:r>
          </w:p>
        </w:tc>
        <w:tc>
          <w:tcPr>
            <w:tcW w:w="26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March 30, 2025</w:t>
            </w:r>
          </w:p>
        </w:tc>
        <w:tc>
          <w:tcPr>
            <w:tcW w:w="2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March 29, 2026</w:t>
            </w:r>
          </w:p>
        </w:tc>
        <w:tc>
          <w:tcPr>
            <w:tcW w:w="28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8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March 30, 2025</w:t>
            </w:r>
          </w:p>
        </w:tc>
        <w:tc>
          <w:tcPr>
            <w:tcW w:w="120" w:type="dxa"/>
            <w:vAlign w:val="bottom"/>
          </w:tcPr>
          <w:p>
            <w:pPr>
              <w:spacing w:after="0"/>
              <w:rPr>
                <w:sz w:val="13"/>
                <w:szCs w:val="13"/>
                <w:color w:val="auto"/>
              </w:rPr>
            </w:pPr>
          </w:p>
        </w:tc>
      </w:tr>
      <w:tr>
        <w:trPr>
          <w:trHeight w:val="155"/>
        </w:trPr>
        <w:tc>
          <w:tcPr>
            <w:tcW w:w="418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Americas</w:t>
            </w:r>
          </w:p>
        </w:tc>
        <w:tc>
          <w:tcPr>
            <w:tcW w:w="1260" w:type="dxa"/>
            <w:vAlign w:val="bottom"/>
            <w:shd w:val="clear" w:color="auto" w:fill="CFF0FC"/>
          </w:tcPr>
          <w:p>
            <w:pPr>
              <w:jc w:val="right"/>
              <w:ind w:right="1108"/>
              <w:spacing w:after="0" w:line="155" w:lineRule="exact"/>
              <w:rPr>
                <w:sz w:val="20"/>
                <w:szCs w:val="20"/>
                <w:color w:val="auto"/>
              </w:rPr>
            </w:pPr>
            <w:r>
              <w:rPr>
                <w:rFonts w:ascii="Arial" w:cs="Arial" w:eastAsia="Arial" w:hAnsi="Arial"/>
                <w:sz w:val="14"/>
                <w:szCs w:val="14"/>
                <w:color w:val="auto"/>
                <w:w w:val="76"/>
              </w:rPr>
              <w:t>$</w:t>
            </w:r>
          </w:p>
        </w:tc>
        <w:tc>
          <w:tcPr>
            <w:tcW w:w="2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283</w:t>
            </w:r>
          </w:p>
        </w:tc>
        <w:tc>
          <w:tcPr>
            <w:tcW w:w="440" w:type="dxa"/>
            <w:vAlign w:val="bottom"/>
            <w:gridSpan w:val="2"/>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3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2,527</w:t>
            </w:r>
          </w:p>
        </w:tc>
        <w:tc>
          <w:tcPr>
            <w:tcW w:w="440" w:type="dxa"/>
            <w:vAlign w:val="bottom"/>
            <w:gridSpan w:val="2"/>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3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2,251</w:t>
            </w:r>
          </w:p>
        </w:tc>
        <w:tc>
          <w:tcPr>
            <w:tcW w:w="440" w:type="dxa"/>
            <w:vAlign w:val="bottom"/>
            <w:gridSpan w:val="2"/>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3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6,715</w:t>
            </w:r>
          </w:p>
        </w:tc>
        <w:tc>
          <w:tcPr>
            <w:tcW w:w="120" w:type="dxa"/>
            <w:vAlign w:val="bottom"/>
            <w:shd w:val="clear" w:color="auto" w:fill="CFF0FC"/>
          </w:tcPr>
          <w:p>
            <w:pPr>
              <w:spacing w:after="0"/>
              <w:rPr>
                <w:sz w:val="13"/>
                <w:szCs w:val="13"/>
                <w:color w:val="auto"/>
              </w:rPr>
            </w:pPr>
          </w:p>
        </w:tc>
      </w:tr>
      <w:tr>
        <w:trPr>
          <w:trHeight w:val="162"/>
        </w:trPr>
        <w:tc>
          <w:tcPr>
            <w:tcW w:w="4180" w:type="dxa"/>
            <w:vAlign w:val="bottom"/>
          </w:tcPr>
          <w:p>
            <w:pPr>
              <w:spacing w:after="0"/>
              <w:rPr>
                <w:sz w:val="20"/>
                <w:szCs w:val="20"/>
                <w:color w:val="auto"/>
              </w:rPr>
            </w:pPr>
            <w:r>
              <w:rPr>
                <w:rFonts w:ascii="Arial" w:cs="Arial" w:eastAsia="Arial" w:hAnsi="Arial"/>
                <w:sz w:val="14"/>
                <w:szCs w:val="14"/>
                <w:color w:val="auto"/>
              </w:rPr>
              <w:t>Brazil</w:t>
            </w:r>
          </w:p>
        </w:tc>
        <w:tc>
          <w:tcPr>
            <w:tcW w:w="12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503</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383</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1,584</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959</w:t>
            </w:r>
          </w:p>
        </w:tc>
        <w:tc>
          <w:tcPr>
            <w:tcW w:w="120" w:type="dxa"/>
            <w:vAlign w:val="bottom"/>
          </w:tcPr>
          <w:p>
            <w:pPr>
              <w:spacing w:after="0"/>
              <w:rPr>
                <w:sz w:val="14"/>
                <w:szCs w:val="14"/>
                <w:color w:val="auto"/>
              </w:rPr>
            </w:pPr>
          </w:p>
        </w:tc>
      </w:tr>
      <w:tr>
        <w:trPr>
          <w:trHeight w:val="162"/>
        </w:trPr>
        <w:tc>
          <w:tcPr>
            <w:tcW w:w="4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Asia</w:t>
            </w:r>
          </w:p>
        </w:tc>
        <w:tc>
          <w:tcPr>
            <w:tcW w:w="1260" w:type="dxa"/>
            <w:vAlign w:val="bottom"/>
            <w:tcBorders>
              <w:bottom w:val="single" w:sz="8" w:color="auto"/>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2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2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w:t>
            </w:r>
          </w:p>
        </w:tc>
        <w:tc>
          <w:tcPr>
            <w:tcW w:w="2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62</w:t>
            </w:r>
          </w:p>
        </w:tc>
        <w:tc>
          <w:tcPr>
            <w:tcW w:w="120" w:type="dxa"/>
            <w:vAlign w:val="bottom"/>
            <w:tcBorders>
              <w:bottom w:val="single" w:sz="8" w:color="CFF0FC"/>
            </w:tcBorders>
            <w:shd w:val="clear" w:color="auto" w:fill="CFF0FC"/>
          </w:tcPr>
          <w:p>
            <w:pPr>
              <w:spacing w:after="0"/>
              <w:rPr>
                <w:sz w:val="14"/>
                <w:szCs w:val="14"/>
                <w:color w:val="auto"/>
              </w:rPr>
            </w:pPr>
          </w:p>
        </w:tc>
      </w:tr>
      <w:tr>
        <w:trPr>
          <w:trHeight w:val="155"/>
        </w:trPr>
        <w:tc>
          <w:tcPr>
            <w:tcW w:w="4180" w:type="dxa"/>
            <w:vAlign w:val="bottom"/>
          </w:tcPr>
          <w:p>
            <w:pPr>
              <w:spacing w:after="0" w:line="155" w:lineRule="exact"/>
              <w:rPr>
                <w:sz w:val="20"/>
                <w:szCs w:val="20"/>
                <w:color w:val="auto"/>
              </w:rPr>
            </w:pPr>
            <w:r>
              <w:rPr>
                <w:rFonts w:ascii="Arial" w:cs="Arial" w:eastAsia="Arial" w:hAnsi="Arial"/>
                <w:sz w:val="14"/>
                <w:szCs w:val="14"/>
                <w:color w:val="auto"/>
              </w:rPr>
              <w:t>Segment capital expenditures</w:t>
            </w:r>
          </w:p>
        </w:tc>
        <w:tc>
          <w:tcPr>
            <w:tcW w:w="1260" w:type="dxa"/>
            <w:vAlign w:val="bottom"/>
          </w:tcPr>
          <w:p>
            <w:pPr>
              <w:spacing w:after="0"/>
              <w:rPr>
                <w:sz w:val="13"/>
                <w:szCs w:val="13"/>
                <w:color w:val="auto"/>
              </w:rPr>
            </w:pPr>
          </w:p>
        </w:tc>
        <w:tc>
          <w:tcPr>
            <w:tcW w:w="260" w:type="dxa"/>
            <w:vAlign w:val="bottom"/>
          </w:tcPr>
          <w:p>
            <w:pPr>
              <w:jc w:val="right"/>
              <w:spacing w:after="0" w:line="155" w:lineRule="exact"/>
              <w:rPr>
                <w:sz w:val="20"/>
                <w:szCs w:val="20"/>
                <w:color w:val="auto"/>
              </w:rPr>
            </w:pPr>
            <w:r>
              <w:rPr>
                <w:rFonts w:ascii="Arial" w:cs="Arial" w:eastAsia="Arial" w:hAnsi="Arial"/>
                <w:sz w:val="14"/>
                <w:szCs w:val="14"/>
                <w:color w:val="auto"/>
              </w:rPr>
              <w:t>788</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jc w:val="right"/>
              <w:spacing w:after="0" w:line="155" w:lineRule="exact"/>
              <w:rPr>
                <w:sz w:val="20"/>
                <w:szCs w:val="20"/>
                <w:color w:val="auto"/>
              </w:rPr>
            </w:pPr>
            <w:r>
              <w:rPr>
                <w:rFonts w:ascii="Arial" w:cs="Arial" w:eastAsia="Arial" w:hAnsi="Arial"/>
                <w:sz w:val="14"/>
                <w:szCs w:val="14"/>
                <w:color w:val="auto"/>
              </w:rPr>
              <w:t>2,913</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jc w:val="right"/>
              <w:spacing w:after="0" w:line="155" w:lineRule="exact"/>
              <w:rPr>
                <w:sz w:val="20"/>
                <w:szCs w:val="20"/>
                <w:color w:val="auto"/>
              </w:rPr>
            </w:pPr>
            <w:r>
              <w:rPr>
                <w:rFonts w:ascii="Arial" w:cs="Arial" w:eastAsia="Arial" w:hAnsi="Arial"/>
                <w:sz w:val="14"/>
                <w:szCs w:val="14"/>
                <w:color w:val="auto"/>
              </w:rPr>
              <w:t>3,849</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tcPr>
          <w:p>
            <w:pPr>
              <w:jc w:val="right"/>
              <w:spacing w:after="0" w:line="155" w:lineRule="exact"/>
              <w:rPr>
                <w:sz w:val="20"/>
                <w:szCs w:val="20"/>
                <w:color w:val="auto"/>
              </w:rPr>
            </w:pPr>
            <w:r>
              <w:rPr>
                <w:rFonts w:ascii="Arial" w:cs="Arial" w:eastAsia="Arial" w:hAnsi="Arial"/>
                <w:sz w:val="14"/>
                <w:szCs w:val="14"/>
                <w:color w:val="auto"/>
              </w:rPr>
              <w:t>7,736</w:t>
            </w:r>
          </w:p>
        </w:tc>
        <w:tc>
          <w:tcPr>
            <w:tcW w:w="120" w:type="dxa"/>
            <w:vAlign w:val="bottom"/>
          </w:tcPr>
          <w:p>
            <w:pPr>
              <w:spacing w:after="0"/>
              <w:rPr>
                <w:sz w:val="13"/>
                <w:szCs w:val="13"/>
                <w:color w:val="auto"/>
              </w:rPr>
            </w:pPr>
          </w:p>
        </w:tc>
      </w:tr>
      <w:tr>
        <w:trPr>
          <w:trHeight w:val="162"/>
        </w:trPr>
        <w:tc>
          <w:tcPr>
            <w:tcW w:w="4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Other capital expenditures</w:t>
            </w:r>
          </w:p>
        </w:tc>
        <w:tc>
          <w:tcPr>
            <w:tcW w:w="1260" w:type="dxa"/>
            <w:vAlign w:val="bottom"/>
            <w:tcBorders>
              <w:bottom w:val="single" w:sz="8" w:color="auto"/>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58</w:t>
            </w:r>
          </w:p>
        </w:tc>
        <w:tc>
          <w:tcPr>
            <w:tcW w:w="2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23</w:t>
            </w:r>
          </w:p>
        </w:tc>
        <w:tc>
          <w:tcPr>
            <w:tcW w:w="2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179</w:t>
            </w:r>
          </w:p>
        </w:tc>
        <w:tc>
          <w:tcPr>
            <w:tcW w:w="120" w:type="dxa"/>
            <w:vAlign w:val="bottom"/>
            <w:tcBorders>
              <w:bottom w:val="single" w:sz="8" w:color="CFF0FC"/>
            </w:tcBorders>
            <w:shd w:val="clear" w:color="auto" w:fill="CFF0FC"/>
          </w:tcPr>
          <w:p>
            <w:pPr>
              <w:spacing w:after="0"/>
              <w:rPr>
                <w:sz w:val="14"/>
                <w:szCs w:val="14"/>
                <w:color w:val="auto"/>
              </w:rPr>
            </w:pPr>
          </w:p>
        </w:tc>
      </w:tr>
      <w:tr>
        <w:trPr>
          <w:trHeight w:val="155"/>
        </w:trPr>
        <w:tc>
          <w:tcPr>
            <w:tcW w:w="4180" w:type="dxa"/>
            <w:vAlign w:val="bottom"/>
          </w:tcPr>
          <w:p>
            <w:pPr>
              <w:spacing w:after="0" w:line="155" w:lineRule="exact"/>
              <w:rPr>
                <w:sz w:val="20"/>
                <w:szCs w:val="20"/>
                <w:color w:val="auto"/>
              </w:rPr>
            </w:pPr>
            <w:r>
              <w:rPr>
                <w:rFonts w:ascii="Arial" w:cs="Arial" w:eastAsia="Arial" w:hAnsi="Arial"/>
                <w:sz w:val="14"/>
                <w:szCs w:val="14"/>
                <w:color w:val="auto"/>
              </w:rPr>
              <w:t>Capital expenditures</w:t>
            </w:r>
          </w:p>
        </w:tc>
        <w:tc>
          <w:tcPr>
            <w:tcW w:w="1260" w:type="dxa"/>
            <w:vAlign w:val="bottom"/>
            <w:tcBorders>
              <w:bottom w:val="single" w:sz="8" w:color="auto"/>
            </w:tcBorders>
          </w:tcPr>
          <w:p>
            <w:pPr>
              <w:jc w:val="right"/>
              <w:ind w:right="1108"/>
              <w:spacing w:after="0" w:line="142" w:lineRule="exact"/>
              <w:rPr>
                <w:sz w:val="20"/>
                <w:szCs w:val="20"/>
                <w:color w:val="auto"/>
              </w:rPr>
            </w:pPr>
            <w:r>
              <w:rPr>
                <w:rFonts w:ascii="Arial" w:cs="Arial" w:eastAsia="Arial" w:hAnsi="Arial"/>
                <w:sz w:val="14"/>
                <w:szCs w:val="14"/>
                <w:color w:val="auto"/>
                <w:w w:val="76"/>
              </w:rPr>
              <w:t>$</w:t>
            </w:r>
          </w:p>
        </w:tc>
        <w:tc>
          <w:tcPr>
            <w:tcW w:w="2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788</w:t>
            </w:r>
          </w:p>
        </w:tc>
        <w:tc>
          <w:tcPr>
            <w:tcW w:w="280" w:type="dxa"/>
            <w:vAlign w:val="bottom"/>
          </w:tcPr>
          <w:p>
            <w:pPr>
              <w:spacing w:after="0"/>
              <w:rPr>
                <w:sz w:val="13"/>
                <w:szCs w:val="13"/>
                <w:color w:val="auto"/>
              </w:rPr>
            </w:pPr>
          </w:p>
        </w:tc>
        <w:tc>
          <w:tcPr>
            <w:tcW w:w="16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2,971</w:t>
            </w:r>
          </w:p>
        </w:tc>
        <w:tc>
          <w:tcPr>
            <w:tcW w:w="280" w:type="dxa"/>
            <w:vAlign w:val="bottom"/>
          </w:tcPr>
          <w:p>
            <w:pPr>
              <w:spacing w:after="0"/>
              <w:rPr>
                <w:sz w:val="13"/>
                <w:szCs w:val="13"/>
                <w:color w:val="auto"/>
              </w:rPr>
            </w:pPr>
          </w:p>
        </w:tc>
        <w:tc>
          <w:tcPr>
            <w:tcW w:w="16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3,872</w:t>
            </w:r>
          </w:p>
        </w:tc>
        <w:tc>
          <w:tcPr>
            <w:tcW w:w="280" w:type="dxa"/>
            <w:vAlign w:val="bottom"/>
          </w:tcPr>
          <w:p>
            <w:pPr>
              <w:spacing w:after="0"/>
              <w:rPr>
                <w:sz w:val="13"/>
                <w:szCs w:val="13"/>
                <w:color w:val="auto"/>
              </w:rPr>
            </w:pPr>
          </w:p>
        </w:tc>
        <w:tc>
          <w:tcPr>
            <w:tcW w:w="16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7,915</w:t>
            </w:r>
          </w:p>
        </w:tc>
        <w:tc>
          <w:tcPr>
            <w:tcW w:w="120" w:type="dxa"/>
            <w:vAlign w:val="bottom"/>
          </w:tcPr>
          <w:p>
            <w:pPr>
              <w:spacing w:after="0"/>
              <w:rPr>
                <w:sz w:val="13"/>
                <w:szCs w:val="13"/>
                <w:color w:val="auto"/>
              </w:rPr>
            </w:pPr>
          </w:p>
        </w:tc>
      </w:tr>
      <w:tr>
        <w:trPr>
          <w:trHeight w:val="20"/>
        </w:trPr>
        <w:tc>
          <w:tcPr>
            <w:tcW w:w="41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-350520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-350520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-350520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-350520</wp:posOffset>
            </wp:positionV>
            <wp:extent cx="7747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-136525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-136525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-136525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-136525</wp:posOffset>
            </wp:positionV>
            <wp:extent cx="7747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00" w:type="dxa"/>
            <w:vAlign w:val="bottom"/>
          </w:tcPr>
          <w:p>
            <w:pPr>
              <w:spacing w:after="0"/>
              <w:rPr>
                <w:sz w:val="20"/>
                <w:szCs w:val="20"/>
                <w:color w:val="auto"/>
              </w:rPr>
            </w:pPr>
            <w:r>
              <w:rPr>
                <w:rFonts w:ascii="Arial" w:cs="Arial" w:eastAsia="Arial" w:hAnsi="Arial"/>
                <w:sz w:val="14"/>
                <w:szCs w:val="14"/>
                <w:color w:val="auto"/>
              </w:rPr>
              <w:t>The reconciliations of segment total assets to consolidated total assets are as follows:</w:t>
            </w:r>
          </w:p>
        </w:tc>
        <w:tc>
          <w:tcPr>
            <w:tcW w:w="2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5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March 29, 2026</w:t>
            </w: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June 29, 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55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Americas</w:t>
            </w:r>
          </w:p>
        </w:tc>
        <w:tc>
          <w:tcPr>
            <w:tcW w:w="2260" w:type="dxa"/>
            <w:vAlign w:val="bottom"/>
            <w:gridSpan w:val="2"/>
            <w:shd w:val="clear" w:color="auto" w:fill="CFF0FC"/>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14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241,937</w:t>
            </w:r>
          </w:p>
        </w:tc>
        <w:tc>
          <w:tcPr>
            <w:tcW w:w="500" w:type="dxa"/>
            <w:vAlign w:val="bottom"/>
            <w:gridSpan w:val="2"/>
            <w:shd w:val="clear" w:color="auto" w:fill="CFF0FC"/>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14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271,230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500" w:type="dxa"/>
            <w:vAlign w:val="bottom"/>
          </w:tcPr>
          <w:p>
            <w:pPr>
              <w:spacing w:after="0"/>
              <w:rPr>
                <w:sz w:val="20"/>
                <w:szCs w:val="20"/>
                <w:color w:val="auto"/>
              </w:rPr>
            </w:pPr>
            <w:r>
              <w:rPr>
                <w:rFonts w:ascii="Arial" w:cs="Arial" w:eastAsia="Arial" w:hAnsi="Arial"/>
                <w:sz w:val="14"/>
                <w:szCs w:val="14"/>
                <w:color w:val="auto"/>
              </w:rPr>
              <w:t>Brazil</w:t>
            </w:r>
          </w:p>
        </w:tc>
        <w:tc>
          <w:tcPr>
            <w:tcW w:w="2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94,397</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99,477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Asia</w:t>
            </w:r>
          </w:p>
        </w:tc>
        <w:tc>
          <w:tcPr>
            <w:tcW w:w="206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35,820</w:t>
            </w:r>
          </w:p>
        </w:tc>
        <w:tc>
          <w:tcPr>
            <w:tcW w:w="3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35,413</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500" w:type="dxa"/>
            <w:vAlign w:val="bottom"/>
          </w:tcPr>
          <w:p>
            <w:pPr>
              <w:spacing w:after="0" w:line="155" w:lineRule="exact"/>
              <w:rPr>
                <w:sz w:val="20"/>
                <w:szCs w:val="20"/>
                <w:color w:val="auto"/>
              </w:rPr>
            </w:pPr>
            <w:r>
              <w:rPr>
                <w:rFonts w:ascii="Arial" w:cs="Arial" w:eastAsia="Arial" w:hAnsi="Arial"/>
                <w:sz w:val="14"/>
                <w:szCs w:val="14"/>
                <w:color w:val="auto"/>
              </w:rPr>
              <w:t>Segment total assets</w:t>
            </w:r>
          </w:p>
        </w:tc>
        <w:tc>
          <w:tcPr>
            <w:tcW w:w="2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jc w:val="right"/>
              <w:spacing w:after="0" w:line="155" w:lineRule="exact"/>
              <w:rPr>
                <w:sz w:val="20"/>
                <w:szCs w:val="20"/>
                <w:color w:val="auto"/>
              </w:rPr>
            </w:pPr>
            <w:r>
              <w:rPr>
                <w:rFonts w:ascii="Arial" w:cs="Arial" w:eastAsia="Arial" w:hAnsi="Arial"/>
                <w:sz w:val="14"/>
                <w:szCs w:val="14"/>
                <w:color w:val="auto"/>
              </w:rPr>
              <w:t>372,154</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jc w:val="right"/>
              <w:spacing w:after="0" w:line="155" w:lineRule="exact"/>
              <w:rPr>
                <w:sz w:val="20"/>
                <w:szCs w:val="20"/>
                <w:color w:val="auto"/>
              </w:rPr>
            </w:pPr>
            <w:r>
              <w:rPr>
                <w:rFonts w:ascii="Arial" w:cs="Arial" w:eastAsia="Arial" w:hAnsi="Arial"/>
                <w:sz w:val="14"/>
                <w:szCs w:val="14"/>
                <w:color w:val="auto"/>
              </w:rPr>
              <w:t>406,120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500" w:type="dxa"/>
            <w:vAlign w:val="bottom"/>
            <w:shd w:val="clear" w:color="auto" w:fill="CFF0FC"/>
          </w:tcPr>
          <w:p>
            <w:pPr>
              <w:spacing w:after="0"/>
              <w:rPr>
                <w:sz w:val="20"/>
                <w:szCs w:val="20"/>
                <w:color w:val="auto"/>
              </w:rPr>
            </w:pPr>
            <w:r>
              <w:rPr>
                <w:rFonts w:ascii="Arial" w:cs="Arial" w:eastAsia="Arial" w:hAnsi="Arial"/>
                <w:sz w:val="14"/>
                <w:szCs w:val="14"/>
                <w:color w:val="auto"/>
              </w:rPr>
              <w:t>Other current assets</w:t>
            </w:r>
          </w:p>
        </w:tc>
        <w:tc>
          <w:tcPr>
            <w:tcW w:w="20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2,095</w:t>
            </w: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2,911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00" w:type="dxa"/>
            <w:vAlign w:val="bottom"/>
          </w:tcPr>
          <w:p>
            <w:pPr>
              <w:spacing w:after="0"/>
              <w:rPr>
                <w:sz w:val="20"/>
                <w:szCs w:val="20"/>
                <w:color w:val="auto"/>
              </w:rPr>
            </w:pPr>
            <w:r>
              <w:rPr>
                <w:rFonts w:ascii="Arial" w:cs="Arial" w:eastAsia="Arial" w:hAnsi="Arial"/>
                <w:sz w:val="14"/>
                <w:szCs w:val="14"/>
                <w:color w:val="auto"/>
              </w:rPr>
              <w:t>Other PP&amp;E</w:t>
            </w:r>
          </w:p>
        </w:tc>
        <w:tc>
          <w:tcPr>
            <w:tcW w:w="2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13,356</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11,887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00" w:type="dxa"/>
            <w:vAlign w:val="bottom"/>
            <w:shd w:val="clear" w:color="auto" w:fill="CFF0FC"/>
          </w:tcPr>
          <w:p>
            <w:pPr>
              <w:spacing w:after="0"/>
              <w:rPr>
                <w:sz w:val="20"/>
                <w:szCs w:val="20"/>
                <w:color w:val="auto"/>
              </w:rPr>
            </w:pPr>
            <w:r>
              <w:rPr>
                <w:rFonts w:ascii="Arial" w:cs="Arial" w:eastAsia="Arial" w:hAnsi="Arial"/>
                <w:sz w:val="14"/>
                <w:szCs w:val="14"/>
                <w:color w:val="auto"/>
              </w:rPr>
              <w:t>Other operating lease assets</w:t>
            </w:r>
          </w:p>
        </w:tc>
        <w:tc>
          <w:tcPr>
            <w:tcW w:w="20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351</w:t>
            </w: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00" w:type="dxa"/>
            <w:vAlign w:val="bottom"/>
          </w:tcPr>
          <w:p>
            <w:pPr>
              <w:spacing w:after="0"/>
              <w:rPr>
                <w:sz w:val="20"/>
                <w:szCs w:val="20"/>
                <w:color w:val="auto"/>
              </w:rPr>
            </w:pPr>
            <w:r>
              <w:rPr>
                <w:rFonts w:ascii="Arial" w:cs="Arial" w:eastAsia="Arial" w:hAnsi="Arial"/>
                <w:sz w:val="14"/>
                <w:szCs w:val="14"/>
                <w:color w:val="auto"/>
              </w:rPr>
              <w:t>Other non-current assets</w:t>
            </w:r>
          </w:p>
        </w:tc>
        <w:tc>
          <w:tcPr>
            <w:tcW w:w="2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3,516</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3,862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Investment in unconsolidated affiliate</w:t>
            </w:r>
          </w:p>
        </w:tc>
        <w:tc>
          <w:tcPr>
            <w:tcW w:w="206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902</w:t>
            </w:r>
          </w:p>
        </w:tc>
        <w:tc>
          <w:tcPr>
            <w:tcW w:w="3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1,151</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500" w:type="dxa"/>
            <w:vAlign w:val="bottom"/>
          </w:tcPr>
          <w:p>
            <w:pPr>
              <w:spacing w:after="0" w:line="155" w:lineRule="exact"/>
              <w:rPr>
                <w:sz w:val="20"/>
                <w:szCs w:val="20"/>
                <w:color w:val="auto"/>
              </w:rPr>
            </w:pPr>
            <w:r>
              <w:rPr>
                <w:rFonts w:ascii="Arial" w:cs="Arial" w:eastAsia="Arial" w:hAnsi="Arial"/>
                <w:sz w:val="14"/>
                <w:szCs w:val="14"/>
                <w:color w:val="auto"/>
              </w:rPr>
              <w:t>Total assets</w:t>
            </w:r>
          </w:p>
        </w:tc>
        <w:tc>
          <w:tcPr>
            <w:tcW w:w="22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1460" w:type="dxa"/>
            <w:vAlign w:val="bottom"/>
          </w:tcPr>
          <w:p>
            <w:pPr>
              <w:jc w:val="right"/>
              <w:spacing w:after="0" w:line="155" w:lineRule="exact"/>
              <w:rPr>
                <w:sz w:val="20"/>
                <w:szCs w:val="20"/>
                <w:color w:val="auto"/>
              </w:rPr>
            </w:pPr>
            <w:r>
              <w:rPr>
                <w:rFonts w:ascii="Arial" w:cs="Arial" w:eastAsia="Arial" w:hAnsi="Arial"/>
                <w:sz w:val="14"/>
                <w:szCs w:val="14"/>
                <w:color w:val="auto"/>
              </w:rPr>
              <w:t>392,374</w:t>
            </w:r>
          </w:p>
        </w:tc>
        <w:tc>
          <w:tcPr>
            <w:tcW w:w="5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1420" w:type="dxa"/>
            <w:vAlign w:val="bottom"/>
          </w:tcPr>
          <w:p>
            <w:pPr>
              <w:jc w:val="right"/>
              <w:spacing w:after="0" w:line="155" w:lineRule="exact"/>
              <w:rPr>
                <w:sz w:val="20"/>
                <w:szCs w:val="20"/>
                <w:color w:val="auto"/>
              </w:rPr>
            </w:pPr>
            <w:r>
              <w:rPr>
                <w:rFonts w:ascii="Arial" w:cs="Arial" w:eastAsia="Arial" w:hAnsi="Arial"/>
                <w:sz w:val="14"/>
                <w:szCs w:val="14"/>
                <w:color w:val="auto"/>
              </w:rPr>
              <w:t>426,868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060" w:type="dxa"/>
            <w:vAlign w:val="bottom"/>
            <w:vMerge w:val="restart"/>
          </w:tcPr>
          <w:p>
            <w:pPr>
              <w:jc w:val="right"/>
              <w:ind w:right="1788"/>
              <w:spacing w:after="0"/>
              <w:rPr>
                <w:sz w:val="20"/>
                <w:szCs w:val="20"/>
                <w:color w:val="auto"/>
              </w:rPr>
            </w:pPr>
            <w:r>
              <w:rPr>
                <w:rFonts w:ascii="Arial" w:cs="Arial" w:eastAsia="Arial" w:hAnsi="Arial"/>
                <w:sz w:val="14"/>
                <w:szCs w:val="14"/>
                <w:color w:val="auto"/>
              </w:rPr>
              <w:t>10</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3"/>
        </w:trPr>
        <w:tc>
          <w:tcPr>
            <w:tcW w:w="550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4"/>
        </w:trPr>
        <w:tc>
          <w:tcPr>
            <w:tcW w:w="550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-1637030</wp:posOffset>
            </wp:positionV>
            <wp:extent cx="7747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-1637030</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-1010920</wp:posOffset>
            </wp:positionV>
            <wp:extent cx="7747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4"/>
          <w:szCs w:val="14"/>
          <w:b w:val="1"/>
          <w:bCs w:val="1"/>
          <w:color w:val="auto"/>
        </w:rPr>
        <w:t>Unifi,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80" w:type="dxa"/>
            <w:vAlign w:val="bottom"/>
          </w:tcPr>
          <w:p>
            <w:pPr>
              <w:spacing w:after="0"/>
              <w:rPr>
                <w:sz w:val="20"/>
                <w:szCs w:val="20"/>
                <w:color w:val="auto"/>
              </w:rPr>
            </w:pPr>
            <w:r>
              <w:rPr>
                <w:rFonts w:ascii="Arial" w:cs="Arial" w:eastAsia="Arial" w:hAnsi="Arial"/>
                <w:sz w:val="14"/>
                <w:szCs w:val="14"/>
                <w:i w:val="1"/>
                <w:iCs w:val="1"/>
                <w:color w:val="auto"/>
              </w:rPr>
              <w:t>Geographic Data</w:t>
            </w: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780" w:type="dxa"/>
            <w:vAlign w:val="bottom"/>
            <w:vMerge w:val="restart"/>
          </w:tcPr>
          <w:p>
            <w:pPr>
              <w:spacing w:after="0"/>
              <w:rPr>
                <w:sz w:val="20"/>
                <w:szCs w:val="20"/>
                <w:color w:val="auto"/>
              </w:rPr>
            </w:pPr>
            <w:r>
              <w:rPr>
                <w:rFonts w:ascii="Arial" w:cs="Arial" w:eastAsia="Arial" w:hAnsi="Arial"/>
                <w:sz w:val="14"/>
                <w:szCs w:val="14"/>
                <w:i w:val="1"/>
                <w:iCs w:val="1"/>
                <w:color w:val="auto"/>
              </w:rPr>
              <w:t>Net Sales</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60" w:type="dxa"/>
            <w:vAlign w:val="bottom"/>
            <w:gridSpan w:val="4"/>
          </w:tcPr>
          <w:p>
            <w:pPr>
              <w:jc w:val="right"/>
              <w:ind w:right="628"/>
              <w:spacing w:after="0"/>
              <w:rPr>
                <w:sz w:val="20"/>
                <w:szCs w:val="20"/>
                <w:color w:val="auto"/>
              </w:rPr>
            </w:pPr>
            <w:r>
              <w:rPr>
                <w:rFonts w:ascii="Arial" w:cs="Arial" w:eastAsia="Arial" w:hAnsi="Arial"/>
                <w:sz w:val="14"/>
                <w:szCs w:val="14"/>
                <w:b w:val="1"/>
                <w:bCs w:val="1"/>
                <w:color w:val="auto"/>
              </w:rPr>
              <w:t>For the Three Months Ended</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380" w:type="dxa"/>
            <w:vAlign w:val="bottom"/>
            <w:gridSpan w:val="8"/>
          </w:tcPr>
          <w:p>
            <w:pPr>
              <w:ind w:left="64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56"/>
        </w:trPr>
        <w:tc>
          <w:tcPr>
            <w:tcW w:w="378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March 29, 2026</w:t>
            </w:r>
          </w:p>
        </w:tc>
        <w:tc>
          <w:tcPr>
            <w:tcW w:w="28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March 30, 2025</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440" w:type="dxa"/>
            <w:vAlign w:val="bottom"/>
            <w:tcBorders>
              <w:top w:val="single" w:sz="8" w:color="auto"/>
              <w:bottom w:val="single" w:sz="8" w:color="auto"/>
            </w:tcBorders>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rPr>
              <w:t>March 29, 2026</w:t>
            </w:r>
          </w:p>
        </w:tc>
        <w:tc>
          <w:tcPr>
            <w:tcW w:w="2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80" w:type="dxa"/>
            <w:vAlign w:val="bottom"/>
            <w:tcBorders>
              <w:top w:val="single" w:sz="8" w:color="auto"/>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March 30, 2025</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78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U.S.</w:t>
            </w:r>
          </w:p>
        </w:tc>
        <w:tc>
          <w:tcPr>
            <w:tcW w:w="560" w:type="dxa"/>
            <w:vAlign w:val="bottom"/>
            <w:gridSpan w:val="2"/>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3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68,110</w:t>
            </w:r>
          </w:p>
        </w:tc>
        <w:tc>
          <w:tcPr>
            <w:tcW w:w="440" w:type="dxa"/>
            <w:vAlign w:val="bottom"/>
            <w:gridSpan w:val="2"/>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3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82,902</w:t>
            </w:r>
          </w:p>
        </w:tc>
        <w:tc>
          <w:tcPr>
            <w:tcW w:w="360" w:type="dxa"/>
            <w:vAlign w:val="bottom"/>
            <w:gridSpan w:val="3"/>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44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212,717</w:t>
            </w:r>
          </w:p>
        </w:tc>
        <w:tc>
          <w:tcPr>
            <w:tcW w:w="440" w:type="dxa"/>
            <w:vAlign w:val="bottom"/>
            <w:gridSpan w:val="3"/>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3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235,476</w:t>
            </w: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20"/>
                <w:szCs w:val="20"/>
                <w:color w:val="auto"/>
              </w:rPr>
            </w:pPr>
            <w:r>
              <w:rPr>
                <w:rFonts w:ascii="Arial" w:cs="Arial" w:eastAsia="Arial" w:hAnsi="Arial"/>
                <w:sz w:val="14"/>
                <w:szCs w:val="14"/>
                <w:color w:val="auto"/>
              </w:rPr>
              <w:t>Brazil</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29,112</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28,124</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color w:val="auto"/>
              </w:rPr>
              <w:t>81,201</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89,916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shd w:val="clear" w:color="auto" w:fill="CFF0FC"/>
          </w:tcPr>
          <w:p>
            <w:pPr>
              <w:spacing w:after="0"/>
              <w:rPr>
                <w:sz w:val="20"/>
                <w:szCs w:val="20"/>
                <w:color w:val="auto"/>
              </w:rPr>
            </w:pPr>
            <w:r>
              <w:rPr>
                <w:rFonts w:ascii="Arial" w:cs="Arial" w:eastAsia="Arial" w:hAnsi="Arial"/>
                <w:sz w:val="14"/>
                <w:szCs w:val="14"/>
                <w:color w:val="auto"/>
              </w:rPr>
              <w:t>China</w:t>
            </w:r>
          </w:p>
        </w:tc>
        <w:tc>
          <w:tcPr>
            <w:tcW w:w="4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22,382</w:t>
            </w: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22,965</w:t>
            </w:r>
          </w:p>
        </w:tc>
        <w:tc>
          <w:tcPr>
            <w:tcW w:w="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64,611</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76,183</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20"/>
                <w:szCs w:val="20"/>
                <w:color w:val="auto"/>
              </w:rPr>
            </w:pPr>
            <w:r>
              <w:rPr>
                <w:rFonts w:ascii="Arial" w:cs="Arial" w:eastAsia="Arial" w:hAnsi="Arial"/>
                <w:sz w:val="14"/>
                <w:szCs w:val="14"/>
                <w:color w:val="auto"/>
              </w:rPr>
              <w:t>Remaining Foreign Countries</w:t>
            </w:r>
          </w:p>
        </w:tc>
        <w:tc>
          <w:tcPr>
            <w:tcW w:w="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10,433</w:t>
            </w: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12,566</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28,550</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31,234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78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Total</w:t>
            </w:r>
          </w:p>
        </w:tc>
        <w:tc>
          <w:tcPr>
            <w:tcW w:w="4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130,037</w:t>
            </w:r>
          </w:p>
        </w:tc>
        <w:tc>
          <w:tcPr>
            <w:tcW w:w="2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146,557</w:t>
            </w:r>
          </w:p>
        </w:tc>
        <w:tc>
          <w:tcPr>
            <w:tcW w:w="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gridSpan w:val="2"/>
            <w:shd w:val="clear" w:color="auto" w:fill="CFF0FC"/>
          </w:tcPr>
          <w:p>
            <w:pPr>
              <w:jc w:val="right"/>
              <w:spacing w:after="0" w:line="142" w:lineRule="exact"/>
              <w:rPr>
                <w:sz w:val="20"/>
                <w:szCs w:val="20"/>
                <w:color w:val="auto"/>
              </w:rPr>
            </w:pPr>
            <w:r>
              <w:rPr>
                <w:rFonts w:ascii="Arial" w:cs="Arial" w:eastAsia="Arial" w:hAnsi="Arial"/>
                <w:sz w:val="14"/>
                <w:szCs w:val="14"/>
                <w:color w:val="auto"/>
              </w:rPr>
              <w:t>387,079</w:t>
            </w:r>
          </w:p>
        </w:tc>
        <w:tc>
          <w:tcPr>
            <w:tcW w:w="22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432,809</w:t>
            </w:r>
          </w:p>
        </w:tc>
        <w:tc>
          <w:tcPr>
            <w:tcW w:w="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780" w:type="dxa"/>
            <w:vAlign w:val="bottom"/>
            <w:shd w:val="clear" w:color="auto" w:fill="CFF0FC"/>
          </w:tcPr>
          <w:p>
            <w:pPr>
              <w:spacing w:after="0" w:line="153" w:lineRule="exact"/>
              <w:rPr>
                <w:sz w:val="20"/>
                <w:szCs w:val="20"/>
                <w:color w:val="auto"/>
              </w:rPr>
            </w:pPr>
            <w:r>
              <w:rPr>
                <w:rFonts w:ascii="Arial" w:cs="Arial" w:eastAsia="Arial" w:hAnsi="Arial"/>
                <w:sz w:val="14"/>
                <w:szCs w:val="14"/>
                <w:color w:val="auto"/>
              </w:rPr>
              <w:t>Export sales from UNIFI’s U.S. operations to external</w:t>
            </w:r>
          </w:p>
        </w:tc>
        <w:tc>
          <w:tcPr>
            <w:tcW w:w="4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3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780" w:type="dxa"/>
            <w:vAlign w:val="bottom"/>
            <w:shd w:val="clear" w:color="auto" w:fill="CFF0FC"/>
          </w:tcPr>
          <w:p>
            <w:pPr>
              <w:spacing w:after="0"/>
              <w:rPr>
                <w:sz w:val="20"/>
                <w:szCs w:val="20"/>
                <w:color w:val="auto"/>
              </w:rPr>
            </w:pPr>
            <w:r>
              <w:rPr>
                <w:rFonts w:ascii="Arial" w:cs="Arial" w:eastAsia="Arial" w:hAnsi="Arial"/>
                <w:sz w:val="14"/>
                <w:szCs w:val="14"/>
                <w:color w:val="auto"/>
              </w:rPr>
              <w:t>customers</w:t>
            </w:r>
          </w:p>
        </w:tc>
        <w:tc>
          <w:tcPr>
            <w:tcW w:w="56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11,451</w:t>
            </w:r>
          </w:p>
        </w:tc>
        <w:tc>
          <w:tcPr>
            <w:tcW w:w="44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19,444</w:t>
            </w:r>
          </w:p>
        </w:tc>
        <w:tc>
          <w:tcPr>
            <w:tcW w:w="36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34,611</w:t>
            </w:r>
          </w:p>
        </w:tc>
        <w:tc>
          <w:tcPr>
            <w:tcW w:w="440" w:type="dxa"/>
            <w:vAlign w:val="bottom"/>
            <w:gridSpan w:val="3"/>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55,189</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356"/>
        </w:trPr>
        <w:tc>
          <w:tcPr>
            <w:tcW w:w="7500" w:type="dxa"/>
            <w:vAlign w:val="bottom"/>
            <w:gridSpan w:val="7"/>
          </w:tcPr>
          <w:p>
            <w:pPr>
              <w:spacing w:after="0"/>
              <w:rPr>
                <w:sz w:val="20"/>
                <w:szCs w:val="20"/>
                <w:color w:val="auto"/>
              </w:rPr>
            </w:pPr>
            <w:r>
              <w:rPr>
                <w:rFonts w:ascii="Arial" w:cs="Arial" w:eastAsia="Arial" w:hAnsi="Arial"/>
                <w:sz w:val="14"/>
                <w:szCs w:val="14"/>
                <w:color w:val="auto"/>
              </w:rPr>
              <w:t>The net sales amounts are based on the operating locations from where the items were produced or distributed.</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780" w:type="dxa"/>
            <w:vAlign w:val="bottom"/>
          </w:tcPr>
          <w:p>
            <w:pPr>
              <w:spacing w:after="0"/>
              <w:rPr>
                <w:sz w:val="20"/>
                <w:szCs w:val="20"/>
                <w:color w:val="auto"/>
              </w:rPr>
            </w:pPr>
            <w:r>
              <w:rPr>
                <w:rFonts w:ascii="Arial" w:cs="Arial" w:eastAsia="Arial" w:hAnsi="Arial"/>
                <w:sz w:val="14"/>
                <w:szCs w:val="14"/>
                <w:i w:val="1"/>
                <w:iCs w:val="1"/>
                <w:color w:val="auto"/>
              </w:rPr>
              <w:t>Long-Lived Assets</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March 29, 2026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29, 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378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U.S.</w:t>
            </w:r>
          </w:p>
        </w:tc>
        <w:tc>
          <w:tcPr>
            <w:tcW w:w="4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280" w:type="dxa"/>
            <w:vAlign w:val="bottom"/>
            <w:gridSpan w:val="2"/>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3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136,061</w:t>
            </w:r>
          </w:p>
        </w:tc>
        <w:tc>
          <w:tcPr>
            <w:tcW w:w="80" w:type="dxa"/>
            <w:vAlign w:val="bottom"/>
            <w:shd w:val="clear" w:color="auto" w:fill="CFF0FC"/>
          </w:tcPr>
          <w:p>
            <w:pPr>
              <w:spacing w:after="0"/>
              <w:rPr>
                <w:sz w:val="13"/>
                <w:szCs w:val="13"/>
                <w:color w:val="auto"/>
              </w:rPr>
            </w:pPr>
          </w:p>
        </w:tc>
        <w:tc>
          <w:tcPr>
            <w:tcW w:w="440" w:type="dxa"/>
            <w:vAlign w:val="bottom"/>
            <w:gridSpan w:val="3"/>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146,017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20"/>
                <w:szCs w:val="20"/>
                <w:color w:val="auto"/>
              </w:rPr>
            </w:pPr>
            <w:r>
              <w:rPr>
                <w:rFonts w:ascii="Arial" w:cs="Arial" w:eastAsia="Arial" w:hAnsi="Arial"/>
                <w:sz w:val="14"/>
                <w:szCs w:val="14"/>
                <w:color w:val="auto"/>
              </w:rPr>
              <w:t>Brazil</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24,611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4"/>
                <w:szCs w:val="14"/>
                <w:color w:val="auto"/>
              </w:rPr>
              <w:t>24,305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shd w:val="clear" w:color="auto" w:fill="CFF0FC"/>
          </w:tcPr>
          <w:p>
            <w:pPr>
              <w:spacing w:after="0"/>
              <w:rPr>
                <w:sz w:val="20"/>
                <w:szCs w:val="20"/>
                <w:color w:val="auto"/>
              </w:rPr>
            </w:pPr>
            <w:r>
              <w:rPr>
                <w:rFonts w:ascii="Arial" w:cs="Arial" w:eastAsia="Arial" w:hAnsi="Arial"/>
                <w:sz w:val="14"/>
                <w:szCs w:val="14"/>
                <w:color w:val="auto"/>
              </w:rPr>
              <w:t>China</w:t>
            </w:r>
          </w:p>
        </w:tc>
        <w:tc>
          <w:tcPr>
            <w:tcW w:w="4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1,103</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1,458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20"/>
                <w:szCs w:val="20"/>
                <w:color w:val="auto"/>
              </w:rPr>
            </w:pPr>
            <w:r>
              <w:rPr>
                <w:rFonts w:ascii="Arial" w:cs="Arial" w:eastAsia="Arial" w:hAnsi="Arial"/>
                <w:sz w:val="14"/>
                <w:szCs w:val="14"/>
                <w:color w:val="auto"/>
              </w:rPr>
              <w:t>Remaining Foreign Countries</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12,718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13,926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78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Total</w:t>
            </w:r>
          </w:p>
        </w:tc>
        <w:tc>
          <w:tcPr>
            <w:tcW w:w="4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3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36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8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174,493</w:t>
            </w:r>
          </w:p>
        </w:tc>
        <w:tc>
          <w:tcPr>
            <w:tcW w:w="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gridSpan w:val="2"/>
            <w:shd w:val="clear" w:color="auto" w:fill="CFF0FC"/>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gridSpan w:val="2"/>
            <w:shd w:val="clear" w:color="auto" w:fill="CFF0FC"/>
          </w:tcPr>
          <w:p>
            <w:pPr>
              <w:jc w:val="right"/>
              <w:ind w:right="20"/>
              <w:spacing w:after="0" w:line="142" w:lineRule="exact"/>
              <w:rPr>
                <w:sz w:val="20"/>
                <w:szCs w:val="20"/>
                <w:color w:val="auto"/>
              </w:rPr>
            </w:pPr>
            <w:r>
              <w:rPr>
                <w:rFonts w:ascii="Arial" w:cs="Arial" w:eastAsia="Arial" w:hAnsi="Arial"/>
                <w:sz w:val="14"/>
                <w:szCs w:val="14"/>
                <w:color w:val="auto"/>
              </w:rPr>
              <w:t>185,706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-1268095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-1250950</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-1268095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-1250950</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-1268095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-1250950</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-1268095</wp:posOffset>
            </wp:positionV>
            <wp:extent cx="7747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-1250950</wp:posOffset>
            </wp:positionV>
            <wp:extent cx="7747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-24765</wp:posOffset>
            </wp:positionV>
            <wp:extent cx="7747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-7620</wp:posOffset>
            </wp:positionV>
            <wp:extent cx="7747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color w:val="auto"/>
        </w:rPr>
        <w:t>Long-lived assets are comprised of PP&amp;E, net; operating lease assets; intangible assets, net; investments in unconsolidated affiliates; and other non-current assets.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13. Investment in Unconsolidated Affiliate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Included within Other non-current assets is UNIFI’s investment in unconsolidated affiliate: UNF America LLC (“UNFA”).</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UNIFI’s raw material purchases under its supply agreement with UNFA consisted of the following:</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60" w:type="dxa"/>
            <w:vAlign w:val="bottom"/>
            <w:gridSpan w:val="4"/>
          </w:tcPr>
          <w:p>
            <w:pPr>
              <w:jc w:val="right"/>
              <w:ind w:right="628"/>
              <w:spacing w:after="0"/>
              <w:rPr>
                <w:sz w:val="20"/>
                <w:szCs w:val="20"/>
                <w:color w:val="auto"/>
              </w:rPr>
            </w:pPr>
            <w:r>
              <w:rPr>
                <w:rFonts w:ascii="Arial" w:cs="Arial" w:eastAsia="Arial" w:hAnsi="Arial"/>
                <w:sz w:val="14"/>
                <w:szCs w:val="14"/>
                <w:b w:val="1"/>
                <w:bCs w:val="1"/>
                <w:color w:val="auto"/>
              </w:rPr>
              <w:t>For the Three Months Ended</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00" w:type="dxa"/>
            <w:vAlign w:val="bottom"/>
            <w:gridSpan w:val="5"/>
          </w:tcPr>
          <w:p>
            <w:pPr>
              <w:ind w:left="560"/>
              <w:spacing w:after="0"/>
              <w:rPr>
                <w:sz w:val="20"/>
                <w:szCs w:val="20"/>
                <w:color w:val="auto"/>
              </w:rPr>
            </w:pPr>
            <w:r>
              <w:rPr>
                <w:rFonts w:ascii="Arial" w:cs="Arial" w:eastAsia="Arial" w:hAnsi="Arial"/>
                <w:sz w:val="14"/>
                <w:szCs w:val="14"/>
                <w:b w:val="1"/>
                <w:bCs w:val="1"/>
                <w:color w:val="auto"/>
              </w:rPr>
              <w:t>For the Nine Months Ended</w:t>
            </w:r>
          </w:p>
        </w:tc>
      </w:tr>
      <w:tr>
        <w:trPr>
          <w:trHeight w:val="155"/>
        </w:trPr>
        <w:tc>
          <w:tcPr>
            <w:tcW w:w="22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March 29, 2026</w:t>
            </w:r>
          </w:p>
        </w:tc>
        <w:tc>
          <w:tcPr>
            <w:tcW w:w="28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March 30, 2025</w:t>
            </w:r>
          </w:p>
        </w:tc>
        <w:tc>
          <w:tcPr>
            <w:tcW w:w="2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March 29, 2026</w:t>
            </w:r>
          </w:p>
        </w:tc>
        <w:tc>
          <w:tcPr>
            <w:tcW w:w="28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8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March 30, 2025</w:t>
            </w:r>
          </w:p>
        </w:tc>
        <w:tc>
          <w:tcPr>
            <w:tcW w:w="120" w:type="dxa"/>
            <w:vAlign w:val="bottom"/>
          </w:tcPr>
          <w:p>
            <w:pPr>
              <w:spacing w:after="0"/>
              <w:rPr>
                <w:sz w:val="13"/>
                <w:szCs w:val="13"/>
                <w:color w:val="auto"/>
              </w:rPr>
            </w:pPr>
          </w:p>
        </w:tc>
      </w:tr>
      <w:tr>
        <w:trPr>
          <w:trHeight w:val="155"/>
        </w:trPr>
        <w:tc>
          <w:tcPr>
            <w:tcW w:w="228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UNFA</w:t>
            </w:r>
          </w:p>
        </w:tc>
        <w:tc>
          <w:tcPr>
            <w:tcW w:w="206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13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3,658</w:t>
            </w:r>
          </w:p>
        </w:tc>
        <w:tc>
          <w:tcPr>
            <w:tcW w:w="44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13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4,572</w:t>
            </w:r>
          </w:p>
        </w:tc>
        <w:tc>
          <w:tcPr>
            <w:tcW w:w="44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13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11,057</w:t>
            </w:r>
          </w:p>
        </w:tc>
        <w:tc>
          <w:tcPr>
            <w:tcW w:w="44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13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11,614</w:t>
            </w:r>
          </w:p>
        </w:tc>
        <w:tc>
          <w:tcPr>
            <w:tcW w:w="120" w:type="dxa"/>
            <w:vAlign w:val="bottom"/>
            <w:shd w:val="clear" w:color="auto" w:fill="CFF0FC"/>
          </w:tcPr>
          <w:p>
            <w:pPr>
              <w:spacing w:after="0"/>
              <w:rPr>
                <w:sz w:val="13"/>
                <w:szCs w:val="13"/>
                <w:color w:val="auto"/>
              </w:rPr>
            </w:pPr>
          </w:p>
        </w:tc>
      </w:tr>
    </w:tbl>
    <w:p>
      <w:pPr>
        <w:spacing w:after="0" w:line="180" w:lineRule="exact"/>
        <w:rPr>
          <w:sz w:val="20"/>
          <w:szCs w:val="20"/>
          <w:color w:val="auto"/>
        </w:rPr>
      </w:pPr>
    </w:p>
    <w:p>
      <w:pPr>
        <w:jc w:val="both"/>
        <w:ind w:right="20"/>
        <w:spacing w:after="0" w:line="285" w:lineRule="auto"/>
        <w:rPr>
          <w:sz w:val="20"/>
          <w:szCs w:val="20"/>
          <w:color w:val="auto"/>
        </w:rPr>
      </w:pPr>
      <w:r>
        <w:rPr>
          <w:rFonts w:ascii="Arial" w:cs="Arial" w:eastAsia="Arial" w:hAnsi="Arial"/>
          <w:sz w:val="14"/>
          <w:szCs w:val="14"/>
          <w:color w:val="auto"/>
        </w:rPr>
        <w:t>As of March 29, 2026, UNIFI’s open purchase orders related to this supply agreement were $2,100. As of March 29, 2026 and June 29, 2025, UNIFI had accounts payable due to UNFA of $1,578 and $1,368, respectively.</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Other than the supply agreement discussed above, UNIFI does not provide any other commitments or guarantees related to UNFA. As of March 29, 2026 and June 29, 2025, UNIFI’s investment in UNFA was $902 and $1,151, respectively. There have been no significant changes in the condensed balance sheet and income statement information for UNFA as previously disclosed in the 2025 Form 10-K.</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20" w:type="dxa"/>
            <w:vAlign w:val="bottom"/>
          </w:tcPr>
          <w:p>
            <w:pPr>
              <w:spacing w:after="0"/>
              <w:rPr>
                <w:sz w:val="20"/>
                <w:szCs w:val="20"/>
                <w:color w:val="auto"/>
              </w:rPr>
            </w:pPr>
            <w:r>
              <w:rPr>
                <w:rFonts w:ascii="Arial" w:cs="Arial" w:eastAsia="Arial" w:hAnsi="Arial"/>
                <w:sz w:val="14"/>
                <w:szCs w:val="14"/>
                <w:b w:val="1"/>
                <w:bCs w:val="1"/>
                <w:color w:val="auto"/>
              </w:rPr>
              <w:t>14. Supplemental Cash Flow Information</w:t>
            </w:r>
          </w:p>
        </w:tc>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4"/>
        </w:trPr>
        <w:tc>
          <w:tcPr>
            <w:tcW w:w="5820" w:type="dxa"/>
            <w:vAlign w:val="bottom"/>
          </w:tcPr>
          <w:p>
            <w:pPr>
              <w:spacing w:after="0"/>
              <w:rPr>
                <w:sz w:val="20"/>
                <w:szCs w:val="20"/>
                <w:color w:val="auto"/>
              </w:rPr>
            </w:pPr>
            <w:r>
              <w:rPr>
                <w:rFonts w:ascii="Arial" w:cs="Arial" w:eastAsia="Arial" w:hAnsi="Arial"/>
                <w:sz w:val="14"/>
                <w:szCs w:val="14"/>
                <w:color w:val="auto"/>
              </w:rPr>
              <w:t>Cash payments for interest and taxes consist of the following:</w:t>
            </w:r>
          </w:p>
        </w:tc>
        <w:tc>
          <w:tcPr>
            <w:tcW w:w="1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1"/>
        </w:trPr>
        <w:tc>
          <w:tcPr>
            <w:tcW w:w="58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60" w:type="dxa"/>
            <w:vAlign w:val="bottom"/>
            <w:gridSpan w:val="5"/>
          </w:tcPr>
          <w:p>
            <w:pPr>
              <w:ind w:left="640"/>
              <w:spacing w:after="0"/>
              <w:rPr>
                <w:sz w:val="20"/>
                <w:szCs w:val="20"/>
                <w:color w:val="auto"/>
              </w:rPr>
            </w:pPr>
            <w:r>
              <w:rPr>
                <w:rFonts w:ascii="Arial" w:cs="Arial" w:eastAsia="Arial" w:hAnsi="Arial"/>
                <w:sz w:val="14"/>
                <w:szCs w:val="14"/>
                <w:b w:val="1"/>
                <w:bCs w:val="1"/>
                <w:color w:val="auto"/>
              </w:rPr>
              <w:t>For the Nine Months Ended</w:t>
            </w:r>
          </w:p>
        </w:tc>
      </w:tr>
      <w:tr>
        <w:trPr>
          <w:trHeight w:val="156"/>
        </w:trPr>
        <w:tc>
          <w:tcPr>
            <w:tcW w:w="58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440" w:type="dxa"/>
            <w:vAlign w:val="bottom"/>
            <w:tcBorders>
              <w:top w:val="single" w:sz="8" w:color="auto"/>
              <w:bottom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March 29, 2026</w:t>
            </w:r>
          </w:p>
        </w:tc>
        <w:tc>
          <w:tcPr>
            <w:tcW w:w="30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440" w:type="dxa"/>
            <w:vAlign w:val="bottom"/>
            <w:tcBorders>
              <w:top w:val="single" w:sz="8" w:color="auto"/>
              <w:bottom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March 30, 2025</w:t>
            </w:r>
          </w:p>
        </w:tc>
        <w:tc>
          <w:tcPr>
            <w:tcW w:w="100" w:type="dxa"/>
            <w:vAlign w:val="bottom"/>
          </w:tcPr>
          <w:p>
            <w:pPr>
              <w:spacing w:after="0"/>
              <w:rPr>
                <w:sz w:val="13"/>
                <w:szCs w:val="13"/>
                <w:color w:val="auto"/>
              </w:rPr>
            </w:pPr>
          </w:p>
        </w:tc>
      </w:tr>
      <w:tr>
        <w:trPr>
          <w:trHeight w:val="155"/>
        </w:trPr>
        <w:tc>
          <w:tcPr>
            <w:tcW w:w="58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Interest, net of capitalized interest of $10 and $115, respectively</w:t>
            </w:r>
          </w:p>
        </w:tc>
        <w:tc>
          <w:tcPr>
            <w:tcW w:w="1960" w:type="dxa"/>
            <w:vAlign w:val="bottom"/>
            <w:gridSpan w:val="2"/>
            <w:shd w:val="clear" w:color="auto" w:fill="CFF0FC"/>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1740" w:type="dxa"/>
            <w:vAlign w:val="bottom"/>
            <w:gridSpan w:val="2"/>
            <w:shd w:val="clear" w:color="auto" w:fill="CFF0FC"/>
          </w:tcPr>
          <w:p>
            <w:pPr>
              <w:jc w:val="right"/>
              <w:ind w:right="300"/>
              <w:spacing w:after="0" w:line="155" w:lineRule="exact"/>
              <w:rPr>
                <w:sz w:val="20"/>
                <w:szCs w:val="20"/>
                <w:color w:val="auto"/>
              </w:rPr>
            </w:pPr>
            <w:r>
              <w:rPr>
                <w:rFonts w:ascii="Arial" w:cs="Arial" w:eastAsia="Arial" w:hAnsi="Arial"/>
                <w:sz w:val="14"/>
                <w:szCs w:val="14"/>
                <w:color w:val="auto"/>
              </w:rPr>
              <w:t>5,292</w:t>
            </w:r>
          </w:p>
        </w:tc>
        <w:tc>
          <w:tcPr>
            <w:tcW w:w="180" w:type="dxa"/>
            <w:vAlign w:val="bottom"/>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540" w:type="dxa"/>
            <w:vAlign w:val="bottom"/>
            <w:gridSpan w:val="2"/>
            <w:shd w:val="clear" w:color="auto" w:fill="CFF0FC"/>
          </w:tcPr>
          <w:p>
            <w:pPr>
              <w:jc w:val="right"/>
              <w:ind w:right="100"/>
              <w:spacing w:after="0" w:line="155" w:lineRule="exact"/>
              <w:rPr>
                <w:sz w:val="20"/>
                <w:szCs w:val="20"/>
                <w:color w:val="auto"/>
              </w:rPr>
            </w:pPr>
            <w:r>
              <w:rPr>
                <w:rFonts w:ascii="Arial" w:cs="Arial" w:eastAsia="Arial" w:hAnsi="Arial"/>
                <w:sz w:val="14"/>
                <w:szCs w:val="14"/>
                <w:color w:val="auto"/>
              </w:rPr>
              <w:t>7,062</w:t>
            </w:r>
          </w:p>
        </w:tc>
      </w:tr>
      <w:tr>
        <w:trPr>
          <w:trHeight w:val="190"/>
        </w:trPr>
        <w:tc>
          <w:tcPr>
            <w:tcW w:w="5820" w:type="dxa"/>
            <w:vAlign w:val="bottom"/>
          </w:tcPr>
          <w:p>
            <w:pPr>
              <w:spacing w:after="0"/>
              <w:rPr>
                <w:sz w:val="20"/>
                <w:szCs w:val="20"/>
                <w:color w:val="auto"/>
              </w:rPr>
            </w:pPr>
            <w:r>
              <w:rPr>
                <w:rFonts w:ascii="Arial" w:cs="Arial" w:eastAsia="Arial" w:hAnsi="Arial"/>
                <w:sz w:val="14"/>
                <w:szCs w:val="14"/>
                <w:color w:val="auto"/>
              </w:rPr>
              <w:t>Income tax (refunds) payments, net</w:t>
            </w:r>
          </w:p>
        </w:tc>
        <w:tc>
          <w:tcPr>
            <w:tcW w:w="1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2"/>
          </w:tcPr>
          <w:p>
            <w:pPr>
              <w:jc w:val="right"/>
              <w:ind w:right="260"/>
              <w:spacing w:after="0"/>
              <w:rPr>
                <w:sz w:val="20"/>
                <w:szCs w:val="20"/>
                <w:color w:val="auto"/>
              </w:rPr>
            </w:pPr>
            <w:r>
              <w:rPr>
                <w:rFonts w:ascii="Arial" w:cs="Arial" w:eastAsia="Arial" w:hAnsi="Arial"/>
                <w:sz w:val="14"/>
                <w:szCs w:val="14"/>
                <w:color w:val="auto"/>
              </w:rPr>
              <w:t>(848)</w:t>
            </w:r>
          </w:p>
        </w:tc>
        <w:tc>
          <w:tcPr>
            <w:tcW w:w="180" w:type="dxa"/>
            <w:vAlign w:val="bottom"/>
          </w:tcPr>
          <w:p>
            <w:pPr>
              <w:spacing w:after="0"/>
              <w:rPr>
                <w:sz w:val="16"/>
                <w:szCs w:val="16"/>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4"/>
                <w:szCs w:val="14"/>
                <w:color w:val="auto"/>
              </w:rPr>
              <w:t>5,191</w:t>
            </w:r>
          </w:p>
        </w:tc>
      </w:tr>
    </w:tbl>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Cash payments for taxes shown above consist primarily of income and withholding tax payments made by UNIFI in both U.S. and foreign jurisdictions, net of refunds.</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Non-Cash Investing and Financing Activities</w:t>
      </w:r>
    </w:p>
    <w:p>
      <w:pPr>
        <w:spacing w:after="0" w:line="107"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As of March 29, 2026 and June 29, 2025, $72 and $676, respectively, were included in accounts payable for unpaid capital expenditures. As of March 30, 2025 and June 30, 2024, $524 and $879, respectively, were included in accounts payable for unpaid capital expenditures.</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color w:val="auto"/>
        </w:rPr>
        <w:t>During the nine-months ended March 29, 2026 and March 30, 2025, UNIFI recorded non-cash activity relating to finance leases of $4,048 and $0, respectively.</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4"/>
          <w:szCs w:val="14"/>
          <w:b w:val="1"/>
          <w:bCs w:val="1"/>
          <w:color w:val="auto"/>
        </w:rPr>
        <w:t>Unifi,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15. Restructuring Costs, Net</w:t>
      </w:r>
    </w:p>
    <w:p>
      <w:pPr>
        <w:spacing w:after="0" w:line="109"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On February 3, 2025, UNIFI announced the pending closure of its manufacturing facility in Madison, North Carolina, and a plan to transition the associated manufacturing operations to other production facilities in North and Central America. In the fourth quarter of fiscal 2025, UNIFI sold the Madison, North Carolina facility, as well as certain machinery and equipment located thereon, for a cash purchase price of $45,000 (the "Madison Sale"). The net proceeds of the Madison Sale were used to repay a portion of the principal balance of the term loan and revolving credit facility outstanding under the 2022 Credit Agreement.</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As part of the Madison Sale, the Company entered into an amendment to the purchase agreement for the potential payment of deferred compensation to UNIFI in the amount of</w:t>
      </w:r>
    </w:p>
    <w:p>
      <w:pPr>
        <w:spacing w:after="0" w:line="15" w:lineRule="exact"/>
        <w:rPr>
          <w:sz w:val="20"/>
          <w:szCs w:val="20"/>
          <w:color w:val="auto"/>
        </w:rPr>
      </w:pPr>
    </w:p>
    <w:p>
      <w:pPr>
        <w:jc w:val="both"/>
        <w:ind w:firstLine="8"/>
        <w:spacing w:after="0" w:line="250" w:lineRule="auto"/>
        <w:tabs>
          <w:tab w:leader="none" w:pos="168" w:val="left"/>
        </w:tabs>
        <w:numPr>
          <w:ilvl w:val="0"/>
          <w:numId w:val="6"/>
        </w:numPr>
        <w:rPr>
          <w:rFonts w:ascii="Arial" w:cs="Arial" w:eastAsia="Arial" w:hAnsi="Arial"/>
          <w:sz w:val="14"/>
          <w:szCs w:val="14"/>
          <w:color w:val="auto"/>
        </w:rPr>
      </w:pPr>
      <w:r>
        <w:rPr>
          <w:rFonts w:ascii="Arial" w:cs="Arial" w:eastAsia="Arial" w:hAnsi="Arial"/>
          <w:sz w:val="14"/>
          <w:szCs w:val="14"/>
          <w:color w:val="auto"/>
        </w:rPr>
        <w:t>$8,000, if certain energy supply conditions are met within two years of closing, (ii) $5,000, if the same conditions are not met within two years of closing but are met within three years of closing, and (iii) up to $5,000, if certain additional energy conditions beyond those referred to in (i) and (ii) are met within four years of closing. The maximum potential future payments to UNIFI are $13,000. No amounts related to such future payments have been recorded in the Consolidated Financial Statements as of March 29, 2026.</w:t>
      </w:r>
    </w:p>
    <w:p>
      <w:pPr>
        <w:spacing w:after="0" w:line="347"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Beginning in the prior year quarter ending March 30, 2025 through the second quarter of this fiscal year, UNIFI incurred transition costs related to the consolidation of Americas yarn manufacturing operations discussed above for facility closure and equipment relocation costs including asset impairments and disposals net of any salvage proceeds and employee separation costs that were recorded within Restructuring costs, net in the Consolidated Statements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color w:val="auto"/>
        </w:rPr>
        <w:t>The restructuring expenses (benefits) incurred in all periods primarily impacted the Americas Segment.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A summary of the restructuring activities (benefits) consists of the following:</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2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For the Three Months Ended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0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For the Nine Months Ended</w:t>
            </w:r>
          </w:p>
        </w:tc>
      </w:tr>
      <w:tr>
        <w:trPr>
          <w:trHeight w:val="155"/>
        </w:trPr>
        <w:tc>
          <w:tcPr>
            <w:tcW w:w="3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March 29, 2026</w:t>
            </w:r>
          </w:p>
        </w:tc>
        <w:tc>
          <w:tcPr>
            <w:tcW w:w="28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March 30, 2025</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March 29, 2026</w:t>
            </w:r>
          </w:p>
        </w:tc>
        <w:tc>
          <w:tcPr>
            <w:tcW w:w="1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8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March 30, 2025</w:t>
            </w:r>
          </w:p>
        </w:tc>
        <w:tc>
          <w:tcPr>
            <w:tcW w:w="120" w:type="dxa"/>
            <w:vAlign w:val="bottom"/>
          </w:tcPr>
          <w:p>
            <w:pPr>
              <w:spacing w:after="0"/>
              <w:rPr>
                <w:sz w:val="13"/>
                <w:szCs w:val="13"/>
                <w:color w:val="auto"/>
              </w:rPr>
            </w:pPr>
          </w:p>
        </w:tc>
      </w:tr>
      <w:tr>
        <w:trPr>
          <w:trHeight w:val="156"/>
        </w:trPr>
        <w:tc>
          <w:tcPr>
            <w:tcW w:w="358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Facility closure and equipment relocation costs</w:t>
            </w:r>
          </w:p>
        </w:tc>
        <w:tc>
          <w:tcPr>
            <w:tcW w:w="76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1640" w:type="dxa"/>
            <w:vAlign w:val="bottom"/>
            <w:gridSpan w:val="2"/>
            <w:shd w:val="clear" w:color="auto" w:fill="CFF0FC"/>
          </w:tcPr>
          <w:p>
            <w:pPr>
              <w:jc w:val="right"/>
              <w:ind w:right="280"/>
              <w:spacing w:after="0" w:line="155" w:lineRule="exact"/>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3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1,088</w:t>
            </w:r>
          </w:p>
        </w:tc>
        <w:tc>
          <w:tcPr>
            <w:tcW w:w="160" w:type="dxa"/>
            <w:vAlign w:val="bottom"/>
            <w:shd w:val="clear" w:color="auto" w:fill="CFF0FC"/>
          </w:tcPr>
          <w:p>
            <w:pPr>
              <w:spacing w:after="0"/>
              <w:rPr>
                <w:sz w:val="13"/>
                <w:szCs w:val="13"/>
                <w:color w:val="auto"/>
              </w:rPr>
            </w:pPr>
          </w:p>
        </w:tc>
        <w:tc>
          <w:tcPr>
            <w:tcW w:w="28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13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713</w:t>
            </w:r>
          </w:p>
        </w:tc>
        <w:tc>
          <w:tcPr>
            <w:tcW w:w="160" w:type="dxa"/>
            <w:vAlign w:val="bottom"/>
            <w:shd w:val="clear" w:color="auto" w:fill="CFF0FC"/>
          </w:tcPr>
          <w:p>
            <w:pPr>
              <w:spacing w:after="0"/>
              <w:rPr>
                <w:sz w:val="13"/>
                <w:szCs w:val="13"/>
                <w:color w:val="auto"/>
              </w:rPr>
            </w:pPr>
          </w:p>
        </w:tc>
        <w:tc>
          <w:tcPr>
            <w:tcW w:w="28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13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1,088</w:t>
            </w:r>
          </w:p>
        </w:tc>
        <w:tc>
          <w:tcPr>
            <w:tcW w:w="120" w:type="dxa"/>
            <w:vAlign w:val="bottom"/>
            <w:shd w:val="clear" w:color="auto" w:fill="CFF0FC"/>
          </w:tcPr>
          <w:p>
            <w:pPr>
              <w:spacing w:after="0"/>
              <w:rPr>
                <w:sz w:val="13"/>
                <w:szCs w:val="13"/>
                <w:color w:val="auto"/>
              </w:rPr>
            </w:pPr>
          </w:p>
        </w:tc>
      </w:tr>
      <w:tr>
        <w:trPr>
          <w:trHeight w:val="162"/>
        </w:trPr>
        <w:tc>
          <w:tcPr>
            <w:tcW w:w="3580" w:type="dxa"/>
            <w:vAlign w:val="bottom"/>
          </w:tcPr>
          <w:p>
            <w:pPr>
              <w:spacing w:after="0"/>
              <w:rPr>
                <w:sz w:val="20"/>
                <w:szCs w:val="20"/>
                <w:color w:val="auto"/>
              </w:rPr>
            </w:pPr>
            <w:r>
              <w:rPr>
                <w:rFonts w:ascii="Arial" w:cs="Arial" w:eastAsia="Arial" w:hAnsi="Arial"/>
                <w:sz w:val="14"/>
                <w:szCs w:val="14"/>
                <w:color w:val="auto"/>
              </w:rPr>
              <w:t>Employee separation costs</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232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1,140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232</w:t>
            </w:r>
          </w:p>
        </w:tc>
        <w:tc>
          <w:tcPr>
            <w:tcW w:w="120" w:type="dxa"/>
            <w:vAlign w:val="bottom"/>
          </w:tcPr>
          <w:p>
            <w:pPr>
              <w:spacing w:after="0"/>
              <w:rPr>
                <w:sz w:val="14"/>
                <w:szCs w:val="14"/>
                <w:color w:val="auto"/>
              </w:rPr>
            </w:pPr>
          </w:p>
        </w:tc>
      </w:tr>
      <w:tr>
        <w:trPr>
          <w:trHeight w:val="196"/>
        </w:trPr>
        <w:tc>
          <w:tcPr>
            <w:tcW w:w="358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Restructuring costs, net</w:t>
            </w:r>
          </w:p>
        </w:tc>
        <w:tc>
          <w:tcPr>
            <w:tcW w:w="6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13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13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1,320</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13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1,853</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13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1,320</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43"/>
        </w:trPr>
        <w:tc>
          <w:tcPr>
            <w:tcW w:w="3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358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4"/>
                <w:szCs w:val="14"/>
                <w:color w:val="auto"/>
              </w:rPr>
              <w:t>Beginning Liability</w:t>
            </w:r>
          </w:p>
        </w:tc>
        <w:tc>
          <w:tcPr>
            <w:tcW w:w="6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283</w:t>
            </w:r>
          </w:p>
        </w:tc>
        <w:tc>
          <w:tcPr>
            <w:tcW w:w="2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289</w:t>
            </w:r>
          </w:p>
        </w:tc>
        <w:tc>
          <w:tcPr>
            <w:tcW w:w="1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4"/>
                <w:szCs w:val="14"/>
                <w:color w:val="auto"/>
              </w:rPr>
            </w:pPr>
          </w:p>
        </w:tc>
      </w:tr>
      <w:tr>
        <w:trPr>
          <w:trHeight w:val="156"/>
        </w:trPr>
        <w:tc>
          <w:tcPr>
            <w:tcW w:w="3580" w:type="dxa"/>
            <w:vAlign w:val="bottom"/>
          </w:tcPr>
          <w:p>
            <w:pPr>
              <w:spacing w:after="0" w:line="155" w:lineRule="exact"/>
              <w:rPr>
                <w:sz w:val="20"/>
                <w:szCs w:val="20"/>
                <w:color w:val="auto"/>
              </w:rPr>
            </w:pPr>
            <w:r>
              <w:rPr>
                <w:rFonts w:ascii="Arial" w:cs="Arial" w:eastAsia="Arial" w:hAnsi="Arial"/>
                <w:sz w:val="14"/>
                <w:szCs w:val="14"/>
                <w:color w:val="auto"/>
              </w:rPr>
              <w:t>Restructuring costs, net</w:t>
            </w: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360" w:type="dxa"/>
            <w:vAlign w:val="bottom"/>
          </w:tcPr>
          <w:p>
            <w:pPr>
              <w:jc w:val="right"/>
              <w:spacing w:after="0" w:line="155" w:lineRule="exact"/>
              <w:rPr>
                <w:sz w:val="20"/>
                <w:szCs w:val="20"/>
                <w:color w:val="auto"/>
              </w:rPr>
            </w:pPr>
            <w:r>
              <w:rPr>
                <w:rFonts w:ascii="Arial" w:cs="Arial" w:eastAsia="Arial" w:hAnsi="Arial"/>
                <w:sz w:val="14"/>
                <w:szCs w:val="14"/>
                <w:color w:val="auto"/>
              </w:rPr>
              <w:t>1,320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jc w:val="right"/>
              <w:spacing w:after="0" w:line="155" w:lineRule="exact"/>
              <w:rPr>
                <w:sz w:val="20"/>
                <w:szCs w:val="20"/>
                <w:color w:val="auto"/>
              </w:rPr>
            </w:pPr>
            <w:r>
              <w:rPr>
                <w:rFonts w:ascii="Arial" w:cs="Arial" w:eastAsia="Arial" w:hAnsi="Arial"/>
                <w:sz w:val="14"/>
                <w:szCs w:val="14"/>
                <w:color w:val="auto"/>
              </w:rPr>
              <w:t>1,853</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tcPr>
          <w:p>
            <w:pPr>
              <w:jc w:val="right"/>
              <w:spacing w:after="0" w:line="155" w:lineRule="exact"/>
              <w:rPr>
                <w:sz w:val="20"/>
                <w:szCs w:val="20"/>
                <w:color w:val="auto"/>
              </w:rPr>
            </w:pPr>
            <w:r>
              <w:rPr>
                <w:rFonts w:ascii="Arial" w:cs="Arial" w:eastAsia="Arial" w:hAnsi="Arial"/>
                <w:sz w:val="14"/>
                <w:szCs w:val="14"/>
                <w:color w:val="auto"/>
              </w:rPr>
              <w:t>1,320</w:t>
            </w:r>
          </w:p>
        </w:tc>
        <w:tc>
          <w:tcPr>
            <w:tcW w:w="120" w:type="dxa"/>
            <w:vAlign w:val="bottom"/>
          </w:tcPr>
          <w:p>
            <w:pPr>
              <w:spacing w:after="0"/>
              <w:rPr>
                <w:sz w:val="13"/>
                <w:szCs w:val="13"/>
                <w:color w:val="auto"/>
              </w:rPr>
            </w:pPr>
          </w:p>
        </w:tc>
      </w:tr>
      <w:tr>
        <w:trPr>
          <w:trHeight w:val="162"/>
        </w:trPr>
        <w:tc>
          <w:tcPr>
            <w:tcW w:w="3580" w:type="dxa"/>
            <w:vAlign w:val="bottom"/>
            <w:shd w:val="clear" w:color="auto" w:fill="CFF0FC"/>
          </w:tcPr>
          <w:p>
            <w:pPr>
              <w:spacing w:after="0"/>
              <w:rPr>
                <w:sz w:val="20"/>
                <w:szCs w:val="20"/>
                <w:color w:val="auto"/>
              </w:rPr>
            </w:pPr>
            <w:r>
              <w:rPr>
                <w:rFonts w:ascii="Arial" w:cs="Arial" w:eastAsia="Arial" w:hAnsi="Arial"/>
                <w:sz w:val="14"/>
                <w:szCs w:val="14"/>
                <w:color w:val="auto"/>
              </w:rPr>
              <w:t>Gain on disposals of assets</w:t>
            </w:r>
          </w:p>
        </w:tc>
        <w:tc>
          <w:tcPr>
            <w:tcW w:w="6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4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5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3580" w:type="dxa"/>
            <w:vAlign w:val="bottom"/>
          </w:tcPr>
          <w:p>
            <w:pPr>
              <w:spacing w:after="0"/>
              <w:rPr>
                <w:sz w:val="20"/>
                <w:szCs w:val="20"/>
                <w:color w:val="auto"/>
              </w:rPr>
            </w:pPr>
            <w:r>
              <w:rPr>
                <w:rFonts w:ascii="Arial" w:cs="Arial" w:eastAsia="Arial" w:hAnsi="Arial"/>
                <w:sz w:val="14"/>
                <w:szCs w:val="14"/>
                <w:color w:val="auto"/>
              </w:rPr>
              <w:t>Cash payments</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4"/>
                <w:szCs w:val="14"/>
                <w:color w:val="auto"/>
              </w:rPr>
              <w:t>(267)</w:t>
            </w:r>
          </w:p>
        </w:tc>
        <w:tc>
          <w:tcPr>
            <w:tcW w:w="160" w:type="dxa"/>
            <w:vAlign w:val="bottom"/>
          </w:tcPr>
          <w:p>
            <w:pPr>
              <w:spacing w:after="0"/>
              <w:rPr>
                <w:sz w:val="14"/>
                <w:szCs w:val="14"/>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4"/>
                <w:szCs w:val="14"/>
                <w:color w:val="auto"/>
              </w:rPr>
              <w:t>(1,094)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4"/>
                <w:szCs w:val="14"/>
                <w:color w:val="auto"/>
              </w:rPr>
              <w:t>(2,251)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4"/>
                <w:szCs w:val="14"/>
                <w:color w:val="auto"/>
              </w:rPr>
              <w:t>(1,094)</w:t>
            </w:r>
          </w:p>
        </w:tc>
      </w:tr>
      <w:tr>
        <w:trPr>
          <w:trHeight w:val="195"/>
        </w:trPr>
        <w:tc>
          <w:tcPr>
            <w:tcW w:w="3580" w:type="dxa"/>
            <w:vAlign w:val="bottom"/>
            <w:tcBorders>
              <w:bottom w:val="single" w:sz="8" w:color="CFF0FC"/>
            </w:tcBorders>
            <w:shd w:val="clear" w:color="auto" w:fill="CFF0FC"/>
          </w:tcPr>
          <w:p>
            <w:pPr>
              <w:ind w:left="80"/>
              <w:spacing w:after="0" w:line="155" w:lineRule="exact"/>
              <w:rPr>
                <w:sz w:val="20"/>
                <w:szCs w:val="20"/>
                <w:color w:val="auto"/>
              </w:rPr>
            </w:pPr>
            <w:r>
              <w:rPr>
                <w:rFonts w:ascii="Arial" w:cs="Arial" w:eastAsia="Arial" w:hAnsi="Arial"/>
                <w:sz w:val="14"/>
                <w:szCs w:val="14"/>
                <w:color w:val="auto"/>
              </w:rPr>
              <w:t>Ending Liability</w:t>
            </w:r>
          </w:p>
        </w:tc>
        <w:tc>
          <w:tcPr>
            <w:tcW w:w="6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13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16</w:t>
            </w:r>
          </w:p>
        </w:tc>
        <w:tc>
          <w:tcPr>
            <w:tcW w:w="2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13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226</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13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16</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13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226</w:t>
            </w:r>
          </w:p>
        </w:tc>
        <w:tc>
          <w:tcPr>
            <w:tcW w:w="12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-685165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-668020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-685165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-668020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-685165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-668020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-685165</wp:posOffset>
            </wp:positionV>
            <wp:extent cx="7747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-668020</wp:posOffset>
            </wp:positionV>
            <wp:extent cx="7747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-453390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-453390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-453390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-453390</wp:posOffset>
            </wp:positionV>
            <wp:extent cx="7747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-24765</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-7620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-24765</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-7620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During October 2025, UNIFI implemented additional cost-saving initiatives that included reducing variable manufacturing costs across labor, spend, and support functions, while also eliminating salaried positions in the U.S. (the "Fiscal 2026 Profit Improvement Plan"). During the nine months ended March 29, 2026, UNIFI incurred employee separation costs of $1,093 related to the Fiscal 2026 Profit Improvement Plan.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4"/>
          <w:szCs w:val="14"/>
          <w:b w:val="1"/>
          <w:bCs w:val="1"/>
          <w:color w:val="auto"/>
        </w:rPr>
        <w:t>Unifi,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20" w:type="dxa"/>
            <w:vAlign w:val="bottom"/>
          </w:tcPr>
          <w:p>
            <w:pPr>
              <w:spacing w:after="0"/>
              <w:rPr>
                <w:sz w:val="20"/>
                <w:szCs w:val="20"/>
                <w:color w:val="auto"/>
              </w:rPr>
            </w:pPr>
            <w:r>
              <w:rPr>
                <w:rFonts w:ascii="Arial" w:cs="Arial" w:eastAsia="Arial" w:hAnsi="Arial"/>
                <w:sz w:val="14"/>
                <w:szCs w:val="14"/>
                <w:b w:val="1"/>
                <w:bCs w:val="1"/>
                <w:color w:val="auto"/>
              </w:rPr>
              <w:t>16. Other Financial Data</w:t>
            </w:r>
          </w:p>
        </w:tc>
        <w:tc>
          <w:tcPr>
            <w:tcW w:w="2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4"/>
        </w:trPr>
        <w:tc>
          <w:tcPr>
            <w:tcW w:w="4920" w:type="dxa"/>
            <w:vAlign w:val="bottom"/>
          </w:tcPr>
          <w:p>
            <w:pPr>
              <w:spacing w:after="0"/>
              <w:rPr>
                <w:sz w:val="20"/>
                <w:szCs w:val="20"/>
                <w:color w:val="auto"/>
              </w:rPr>
            </w:pPr>
            <w:r>
              <w:rPr>
                <w:rFonts w:ascii="Arial" w:cs="Arial" w:eastAsia="Arial" w:hAnsi="Arial"/>
                <w:sz w:val="14"/>
                <w:szCs w:val="14"/>
                <w:color w:val="auto"/>
              </w:rPr>
              <w:t>Select balance sheet information is presented in the following table.</w:t>
            </w:r>
          </w:p>
        </w:tc>
        <w:tc>
          <w:tcPr>
            <w:tcW w:w="2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49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March 29, 2026</w:t>
            </w:r>
          </w:p>
        </w:tc>
        <w:tc>
          <w:tcPr>
            <w:tcW w:w="200" w:type="dxa"/>
            <w:vAlign w:val="bottom"/>
          </w:tcPr>
          <w:p>
            <w:pPr>
              <w:spacing w:after="0"/>
              <w:rPr>
                <w:sz w:val="18"/>
                <w:szCs w:val="18"/>
                <w:color w:val="auto"/>
              </w:rPr>
            </w:pPr>
          </w:p>
        </w:tc>
        <w:tc>
          <w:tcPr>
            <w:tcW w:w="15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June 29, 2025</w:t>
            </w:r>
          </w:p>
        </w:tc>
      </w:tr>
      <w:tr>
        <w:trPr>
          <w:trHeight w:val="156"/>
        </w:trPr>
        <w:tc>
          <w:tcPr>
            <w:tcW w:w="49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Receivables, net:</w:t>
            </w:r>
          </w:p>
        </w:tc>
        <w:tc>
          <w:tcPr>
            <w:tcW w:w="2640" w:type="dxa"/>
            <w:vAlign w:val="bottom"/>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1460" w:type="dxa"/>
            <w:vAlign w:val="bottom"/>
            <w:tcBorders>
              <w:top w:val="single" w:sz="8" w:color="auto"/>
            </w:tcBorders>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142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4920" w:type="dxa"/>
            <w:vAlign w:val="bottom"/>
          </w:tcPr>
          <w:p>
            <w:pPr>
              <w:ind w:left="80"/>
              <w:spacing w:after="0"/>
              <w:rPr>
                <w:sz w:val="20"/>
                <w:szCs w:val="20"/>
                <w:color w:val="auto"/>
              </w:rPr>
            </w:pPr>
            <w:r>
              <w:rPr>
                <w:rFonts w:ascii="Arial" w:cs="Arial" w:eastAsia="Arial" w:hAnsi="Arial"/>
                <w:sz w:val="14"/>
                <w:szCs w:val="14"/>
                <w:color w:val="auto"/>
              </w:rPr>
              <w:t>Customer receivables</w:t>
            </w:r>
          </w:p>
        </w:tc>
        <w:tc>
          <w:tcPr>
            <w:tcW w:w="284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73,181</w:t>
            </w:r>
          </w:p>
        </w:tc>
        <w:tc>
          <w:tcPr>
            <w:tcW w:w="30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76,594</w:t>
            </w:r>
          </w:p>
        </w:tc>
        <w:tc>
          <w:tcPr>
            <w:tcW w:w="100" w:type="dxa"/>
            <w:vAlign w:val="bottom"/>
          </w:tcPr>
          <w:p>
            <w:pPr>
              <w:spacing w:after="0"/>
              <w:rPr>
                <w:sz w:val="14"/>
                <w:szCs w:val="14"/>
                <w:color w:val="auto"/>
              </w:rPr>
            </w:pPr>
          </w:p>
        </w:tc>
      </w:tr>
      <w:tr>
        <w:trPr>
          <w:trHeight w:val="162"/>
        </w:trPr>
        <w:tc>
          <w:tcPr>
            <w:tcW w:w="4920" w:type="dxa"/>
            <w:vAlign w:val="bottom"/>
            <w:shd w:val="clear" w:color="auto" w:fill="CFF0FC"/>
          </w:tcPr>
          <w:p>
            <w:pPr>
              <w:ind w:left="80"/>
              <w:spacing w:after="0"/>
              <w:rPr>
                <w:sz w:val="20"/>
                <w:szCs w:val="20"/>
                <w:color w:val="auto"/>
              </w:rPr>
            </w:pPr>
            <w:r>
              <w:rPr>
                <w:rFonts w:ascii="Arial" w:cs="Arial" w:eastAsia="Arial" w:hAnsi="Arial"/>
                <w:sz w:val="14"/>
                <w:szCs w:val="14"/>
                <w:color w:val="auto"/>
              </w:rPr>
              <w:t>Allowance for uncollectible accounts</w:t>
            </w:r>
          </w:p>
        </w:tc>
        <w:tc>
          <w:tcPr>
            <w:tcW w:w="26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7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(1,671)</w:t>
            </w:r>
          </w:p>
        </w:tc>
        <w:tc>
          <w:tcPr>
            <w:tcW w:w="200" w:type="dxa"/>
            <w:vAlign w:val="bottom"/>
            <w:shd w:val="clear" w:color="auto" w:fill="CFF0FC"/>
          </w:tcPr>
          <w:p>
            <w:pPr>
              <w:spacing w:after="0"/>
              <w:rPr>
                <w:sz w:val="14"/>
                <w:szCs w:val="14"/>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(2,451)</w:t>
            </w:r>
          </w:p>
        </w:tc>
      </w:tr>
      <w:tr>
        <w:trPr>
          <w:trHeight w:val="162"/>
        </w:trPr>
        <w:tc>
          <w:tcPr>
            <w:tcW w:w="4920" w:type="dxa"/>
            <w:vAlign w:val="bottom"/>
          </w:tcPr>
          <w:p>
            <w:pPr>
              <w:ind w:left="80"/>
              <w:spacing w:after="0"/>
              <w:rPr>
                <w:sz w:val="20"/>
                <w:szCs w:val="20"/>
                <w:color w:val="auto"/>
              </w:rPr>
            </w:pPr>
            <w:r>
              <w:rPr>
                <w:rFonts w:ascii="Arial" w:cs="Arial" w:eastAsia="Arial" w:hAnsi="Arial"/>
                <w:sz w:val="14"/>
                <w:szCs w:val="14"/>
                <w:color w:val="auto"/>
              </w:rPr>
              <w:t>Reserves for quality claims</w:t>
            </w:r>
          </w:p>
        </w:tc>
        <w:tc>
          <w:tcPr>
            <w:tcW w:w="2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gridSpan w:val="2"/>
          </w:tcPr>
          <w:p>
            <w:pPr>
              <w:jc w:val="right"/>
              <w:ind w:right="260"/>
              <w:spacing w:after="0"/>
              <w:rPr>
                <w:sz w:val="20"/>
                <w:szCs w:val="20"/>
                <w:color w:val="auto"/>
              </w:rPr>
            </w:pPr>
            <w:r>
              <w:rPr>
                <w:rFonts w:ascii="Arial" w:cs="Arial" w:eastAsia="Arial" w:hAnsi="Arial"/>
                <w:sz w:val="14"/>
                <w:szCs w:val="14"/>
                <w:color w:val="auto"/>
              </w:rPr>
              <w:t>(761)</w:t>
            </w:r>
          </w:p>
        </w:tc>
        <w:tc>
          <w:tcPr>
            <w:tcW w:w="200" w:type="dxa"/>
            <w:vAlign w:val="bottom"/>
          </w:tcPr>
          <w:p>
            <w:pPr>
              <w:spacing w:after="0"/>
              <w:rPr>
                <w:sz w:val="14"/>
                <w:szCs w:val="14"/>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4"/>
                <w:szCs w:val="14"/>
                <w:color w:val="auto"/>
              </w:rPr>
              <w:t>(912)</w:t>
            </w:r>
          </w:p>
        </w:tc>
      </w:tr>
      <w:tr>
        <w:trPr>
          <w:trHeight w:val="156"/>
        </w:trPr>
        <w:tc>
          <w:tcPr>
            <w:tcW w:w="4920" w:type="dxa"/>
            <w:vAlign w:val="bottom"/>
            <w:shd w:val="clear" w:color="auto" w:fill="CFF0FC"/>
          </w:tcPr>
          <w:p>
            <w:pPr>
              <w:ind w:left="80"/>
              <w:spacing w:after="0" w:line="155" w:lineRule="exact"/>
              <w:rPr>
                <w:sz w:val="20"/>
                <w:szCs w:val="20"/>
                <w:color w:val="auto"/>
              </w:rPr>
            </w:pPr>
            <w:r>
              <w:rPr>
                <w:rFonts w:ascii="Arial" w:cs="Arial" w:eastAsia="Arial" w:hAnsi="Arial"/>
                <w:sz w:val="14"/>
                <w:szCs w:val="14"/>
                <w:color w:val="auto"/>
              </w:rPr>
              <w:t>Net customer receivables</w:t>
            </w:r>
          </w:p>
        </w:tc>
        <w:tc>
          <w:tcPr>
            <w:tcW w:w="2640" w:type="dxa"/>
            <w:vAlign w:val="bottom"/>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14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70,749</w:t>
            </w:r>
          </w:p>
        </w:tc>
        <w:tc>
          <w:tcPr>
            <w:tcW w:w="300" w:type="dxa"/>
            <w:vAlign w:val="bottom"/>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14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73,231</w:t>
            </w:r>
          </w:p>
        </w:tc>
        <w:tc>
          <w:tcPr>
            <w:tcW w:w="100" w:type="dxa"/>
            <w:vAlign w:val="bottom"/>
            <w:shd w:val="clear" w:color="auto" w:fill="CFF0FC"/>
          </w:tcPr>
          <w:p>
            <w:pPr>
              <w:spacing w:after="0"/>
              <w:rPr>
                <w:sz w:val="13"/>
                <w:szCs w:val="13"/>
                <w:color w:val="auto"/>
              </w:rPr>
            </w:pPr>
          </w:p>
        </w:tc>
      </w:tr>
      <w:tr>
        <w:trPr>
          <w:trHeight w:val="162"/>
        </w:trPr>
        <w:tc>
          <w:tcPr>
            <w:tcW w:w="4920" w:type="dxa"/>
            <w:vAlign w:val="bottom"/>
          </w:tcPr>
          <w:p>
            <w:pPr>
              <w:ind w:left="80"/>
              <w:spacing w:after="0"/>
              <w:rPr>
                <w:sz w:val="20"/>
                <w:szCs w:val="20"/>
                <w:color w:val="auto"/>
              </w:rPr>
            </w:pPr>
            <w:r>
              <w:rPr>
                <w:rFonts w:ascii="Arial" w:cs="Arial" w:eastAsia="Arial" w:hAnsi="Arial"/>
                <w:sz w:val="14"/>
                <w:szCs w:val="14"/>
                <w:color w:val="auto"/>
              </w:rPr>
              <w:t>Banker's acceptance notes</w:t>
            </w:r>
          </w:p>
        </w:tc>
        <w:tc>
          <w:tcPr>
            <w:tcW w:w="2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1,215</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1,334</w:t>
            </w:r>
          </w:p>
        </w:tc>
        <w:tc>
          <w:tcPr>
            <w:tcW w:w="100" w:type="dxa"/>
            <w:vAlign w:val="bottom"/>
          </w:tcPr>
          <w:p>
            <w:pPr>
              <w:spacing w:after="0"/>
              <w:rPr>
                <w:sz w:val="14"/>
                <w:szCs w:val="14"/>
                <w:color w:val="auto"/>
              </w:rPr>
            </w:pPr>
          </w:p>
        </w:tc>
      </w:tr>
      <w:tr>
        <w:trPr>
          <w:trHeight w:val="162"/>
        </w:trPr>
        <w:tc>
          <w:tcPr>
            <w:tcW w:w="492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4"/>
                <w:szCs w:val="14"/>
                <w:color w:val="auto"/>
              </w:rPr>
              <w:t>Other receivables</w:t>
            </w:r>
          </w:p>
        </w:tc>
        <w:tc>
          <w:tcPr>
            <w:tcW w:w="264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1,665</w:t>
            </w:r>
          </w:p>
        </w:tc>
        <w:tc>
          <w:tcPr>
            <w:tcW w:w="3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818</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6"/>
        </w:trPr>
        <w:tc>
          <w:tcPr>
            <w:tcW w:w="4920" w:type="dxa"/>
            <w:vAlign w:val="bottom"/>
          </w:tcPr>
          <w:p>
            <w:pPr>
              <w:ind w:left="160"/>
              <w:spacing w:after="0" w:line="155" w:lineRule="exact"/>
              <w:rPr>
                <w:sz w:val="20"/>
                <w:szCs w:val="20"/>
                <w:color w:val="auto"/>
              </w:rPr>
            </w:pPr>
            <w:r>
              <w:rPr>
                <w:rFonts w:ascii="Arial" w:cs="Arial" w:eastAsia="Arial" w:hAnsi="Arial"/>
                <w:sz w:val="14"/>
                <w:szCs w:val="14"/>
                <w:color w:val="auto"/>
              </w:rPr>
              <w:t>Total receivables, net</w:t>
            </w:r>
          </w:p>
        </w:tc>
        <w:tc>
          <w:tcPr>
            <w:tcW w:w="2640" w:type="dxa"/>
            <w:vAlign w:val="bottom"/>
          </w:tcPr>
          <w:p>
            <w:pPr>
              <w:spacing w:after="0"/>
              <w:rPr>
                <w:sz w:val="13"/>
                <w:szCs w:val="13"/>
                <w:color w:val="auto"/>
              </w:rPr>
            </w:pPr>
          </w:p>
        </w:tc>
        <w:tc>
          <w:tcPr>
            <w:tcW w:w="20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73,629</w:t>
            </w:r>
          </w:p>
        </w:tc>
        <w:tc>
          <w:tcPr>
            <w:tcW w:w="300" w:type="dxa"/>
            <w:vAlign w:val="bottom"/>
          </w:tcPr>
          <w:p>
            <w:pPr>
              <w:spacing w:after="0"/>
              <w:rPr>
                <w:sz w:val="13"/>
                <w:szCs w:val="13"/>
                <w:color w:val="auto"/>
              </w:rPr>
            </w:pPr>
          </w:p>
        </w:tc>
        <w:tc>
          <w:tcPr>
            <w:tcW w:w="20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75,383</w:t>
            </w:r>
          </w:p>
        </w:tc>
        <w:tc>
          <w:tcPr>
            <w:tcW w:w="100" w:type="dxa"/>
            <w:vAlign w:val="bottom"/>
          </w:tcPr>
          <w:p>
            <w:pPr>
              <w:spacing w:after="0"/>
              <w:rPr>
                <w:sz w:val="13"/>
                <w:szCs w:val="13"/>
                <w:color w:val="auto"/>
              </w:rPr>
            </w:pPr>
          </w:p>
        </w:tc>
      </w:tr>
      <w:tr>
        <w:trPr>
          <w:trHeight w:val="68"/>
        </w:trPr>
        <w:tc>
          <w:tcPr>
            <w:tcW w:w="4920" w:type="dxa"/>
            <w:vAlign w:val="bottom"/>
          </w:tcPr>
          <w:p>
            <w:pPr>
              <w:spacing w:after="0"/>
              <w:rPr>
                <w:sz w:val="5"/>
                <w:szCs w:val="5"/>
                <w:color w:val="auto"/>
              </w:rPr>
            </w:pPr>
          </w:p>
        </w:tc>
        <w:tc>
          <w:tcPr>
            <w:tcW w:w="264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162"/>
        </w:trPr>
        <w:tc>
          <w:tcPr>
            <w:tcW w:w="4920" w:type="dxa"/>
            <w:vAlign w:val="bottom"/>
            <w:tcBorders>
              <w:top w:val="single" w:sz="8" w:color="CFF0FC"/>
            </w:tcBorders>
          </w:tcPr>
          <w:p>
            <w:pPr>
              <w:spacing w:after="0"/>
              <w:rPr>
                <w:sz w:val="20"/>
                <w:szCs w:val="20"/>
                <w:color w:val="auto"/>
              </w:rPr>
            </w:pPr>
            <w:r>
              <w:rPr>
                <w:rFonts w:ascii="Arial" w:cs="Arial" w:eastAsia="Arial" w:hAnsi="Arial"/>
                <w:sz w:val="14"/>
                <w:szCs w:val="14"/>
                <w:color w:val="auto"/>
              </w:rPr>
              <w:t>Inventories:</w:t>
            </w:r>
          </w:p>
        </w:tc>
        <w:tc>
          <w:tcPr>
            <w:tcW w:w="2640" w:type="dxa"/>
            <w:vAlign w:val="bottom"/>
            <w:tcBorders>
              <w:top w:val="single" w:sz="8" w:color="CFF0FC"/>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1460" w:type="dxa"/>
            <w:vAlign w:val="bottom"/>
            <w:tcBorders>
              <w:top w:val="single" w:sz="8" w:color="CFF0FC"/>
            </w:tcBorders>
          </w:tcPr>
          <w:p>
            <w:pPr>
              <w:spacing w:after="0"/>
              <w:rPr>
                <w:sz w:val="14"/>
                <w:szCs w:val="14"/>
                <w:color w:val="auto"/>
              </w:rPr>
            </w:pPr>
          </w:p>
        </w:tc>
        <w:tc>
          <w:tcPr>
            <w:tcW w:w="300" w:type="dxa"/>
            <w:vAlign w:val="bottom"/>
            <w:tcBorders>
              <w:top w:val="single" w:sz="8" w:color="CFF0FC"/>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142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r>
      <w:tr>
        <w:trPr>
          <w:trHeight w:val="162"/>
        </w:trPr>
        <w:tc>
          <w:tcPr>
            <w:tcW w:w="4920" w:type="dxa"/>
            <w:vAlign w:val="bottom"/>
            <w:shd w:val="clear" w:color="auto" w:fill="CFF0FC"/>
          </w:tcPr>
          <w:p>
            <w:pPr>
              <w:ind w:left="80"/>
              <w:spacing w:after="0"/>
              <w:rPr>
                <w:sz w:val="20"/>
                <w:szCs w:val="20"/>
                <w:color w:val="auto"/>
              </w:rPr>
            </w:pPr>
            <w:r>
              <w:rPr>
                <w:rFonts w:ascii="Arial" w:cs="Arial" w:eastAsia="Arial" w:hAnsi="Arial"/>
                <w:sz w:val="14"/>
                <w:szCs w:val="14"/>
                <w:color w:val="auto"/>
              </w:rPr>
              <w:t>Raw materials</w:t>
            </w:r>
          </w:p>
        </w:tc>
        <w:tc>
          <w:tcPr>
            <w:tcW w:w="284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40,898</w:t>
            </w: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48,752</w:t>
            </w:r>
          </w:p>
        </w:tc>
        <w:tc>
          <w:tcPr>
            <w:tcW w:w="100" w:type="dxa"/>
            <w:vAlign w:val="bottom"/>
            <w:shd w:val="clear" w:color="auto" w:fill="CFF0FC"/>
          </w:tcPr>
          <w:p>
            <w:pPr>
              <w:spacing w:after="0"/>
              <w:rPr>
                <w:sz w:val="14"/>
                <w:szCs w:val="14"/>
                <w:color w:val="auto"/>
              </w:rPr>
            </w:pPr>
          </w:p>
        </w:tc>
      </w:tr>
      <w:tr>
        <w:trPr>
          <w:trHeight w:val="162"/>
        </w:trPr>
        <w:tc>
          <w:tcPr>
            <w:tcW w:w="4920" w:type="dxa"/>
            <w:vAlign w:val="bottom"/>
          </w:tcPr>
          <w:p>
            <w:pPr>
              <w:ind w:left="80"/>
              <w:spacing w:after="0"/>
              <w:rPr>
                <w:sz w:val="20"/>
                <w:szCs w:val="20"/>
                <w:color w:val="auto"/>
              </w:rPr>
            </w:pPr>
            <w:r>
              <w:rPr>
                <w:rFonts w:ascii="Arial" w:cs="Arial" w:eastAsia="Arial" w:hAnsi="Arial"/>
                <w:sz w:val="14"/>
                <w:szCs w:val="14"/>
                <w:color w:val="auto"/>
              </w:rPr>
              <w:t>Supplies</w:t>
            </w:r>
          </w:p>
        </w:tc>
        <w:tc>
          <w:tcPr>
            <w:tcW w:w="2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12,458</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11,779</w:t>
            </w:r>
          </w:p>
        </w:tc>
        <w:tc>
          <w:tcPr>
            <w:tcW w:w="100" w:type="dxa"/>
            <w:vAlign w:val="bottom"/>
          </w:tcPr>
          <w:p>
            <w:pPr>
              <w:spacing w:after="0"/>
              <w:rPr>
                <w:sz w:val="14"/>
                <w:szCs w:val="14"/>
                <w:color w:val="auto"/>
              </w:rPr>
            </w:pPr>
          </w:p>
        </w:tc>
      </w:tr>
      <w:tr>
        <w:trPr>
          <w:trHeight w:val="162"/>
        </w:trPr>
        <w:tc>
          <w:tcPr>
            <w:tcW w:w="4920" w:type="dxa"/>
            <w:vAlign w:val="bottom"/>
            <w:shd w:val="clear" w:color="auto" w:fill="CFF0FC"/>
          </w:tcPr>
          <w:p>
            <w:pPr>
              <w:ind w:left="80"/>
              <w:spacing w:after="0"/>
              <w:rPr>
                <w:sz w:val="20"/>
                <w:szCs w:val="20"/>
                <w:color w:val="auto"/>
              </w:rPr>
            </w:pPr>
            <w:r>
              <w:rPr>
                <w:rFonts w:ascii="Arial" w:cs="Arial" w:eastAsia="Arial" w:hAnsi="Arial"/>
                <w:sz w:val="14"/>
                <w:szCs w:val="14"/>
                <w:color w:val="auto"/>
              </w:rPr>
              <w:t>Work in process</w:t>
            </w:r>
          </w:p>
        </w:tc>
        <w:tc>
          <w:tcPr>
            <w:tcW w:w="26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4,378</w:t>
            </w: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5,246</w:t>
            </w:r>
          </w:p>
        </w:tc>
        <w:tc>
          <w:tcPr>
            <w:tcW w:w="100" w:type="dxa"/>
            <w:vAlign w:val="bottom"/>
            <w:shd w:val="clear" w:color="auto" w:fill="CFF0FC"/>
          </w:tcPr>
          <w:p>
            <w:pPr>
              <w:spacing w:after="0"/>
              <w:rPr>
                <w:sz w:val="14"/>
                <w:szCs w:val="14"/>
                <w:color w:val="auto"/>
              </w:rPr>
            </w:pPr>
          </w:p>
        </w:tc>
      </w:tr>
      <w:tr>
        <w:trPr>
          <w:trHeight w:val="162"/>
        </w:trPr>
        <w:tc>
          <w:tcPr>
            <w:tcW w:w="4920" w:type="dxa"/>
            <w:vAlign w:val="bottom"/>
          </w:tcPr>
          <w:p>
            <w:pPr>
              <w:ind w:left="80"/>
              <w:spacing w:after="0"/>
              <w:rPr>
                <w:sz w:val="20"/>
                <w:szCs w:val="20"/>
                <w:color w:val="auto"/>
              </w:rPr>
            </w:pPr>
            <w:r>
              <w:rPr>
                <w:rFonts w:ascii="Arial" w:cs="Arial" w:eastAsia="Arial" w:hAnsi="Arial"/>
                <w:sz w:val="14"/>
                <w:szCs w:val="14"/>
                <w:color w:val="auto"/>
              </w:rPr>
              <w:t>Finished goods</w:t>
            </w:r>
          </w:p>
        </w:tc>
        <w:tc>
          <w:tcPr>
            <w:tcW w:w="26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50,131</w:t>
            </w: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61,116</w:t>
            </w:r>
          </w:p>
        </w:tc>
        <w:tc>
          <w:tcPr>
            <w:tcW w:w="100" w:type="dxa"/>
            <w:vAlign w:val="bottom"/>
          </w:tcPr>
          <w:p>
            <w:pPr>
              <w:spacing w:after="0"/>
              <w:rPr>
                <w:sz w:val="14"/>
                <w:szCs w:val="14"/>
                <w:color w:val="auto"/>
              </w:rPr>
            </w:pPr>
          </w:p>
        </w:tc>
      </w:tr>
      <w:tr>
        <w:trPr>
          <w:trHeight w:val="155"/>
        </w:trPr>
        <w:tc>
          <w:tcPr>
            <w:tcW w:w="4920" w:type="dxa"/>
            <w:vAlign w:val="bottom"/>
            <w:shd w:val="clear" w:color="auto" w:fill="CFF0FC"/>
          </w:tcPr>
          <w:p>
            <w:pPr>
              <w:ind w:left="80"/>
              <w:spacing w:after="0" w:line="155" w:lineRule="exact"/>
              <w:rPr>
                <w:sz w:val="20"/>
                <w:szCs w:val="20"/>
                <w:color w:val="auto"/>
              </w:rPr>
            </w:pPr>
            <w:r>
              <w:rPr>
                <w:rFonts w:ascii="Arial" w:cs="Arial" w:eastAsia="Arial" w:hAnsi="Arial"/>
                <w:sz w:val="14"/>
                <w:szCs w:val="14"/>
                <w:color w:val="auto"/>
              </w:rPr>
              <w:t>Gross inventories</w:t>
            </w:r>
          </w:p>
        </w:tc>
        <w:tc>
          <w:tcPr>
            <w:tcW w:w="26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107,865</w:t>
            </w:r>
          </w:p>
        </w:tc>
        <w:tc>
          <w:tcPr>
            <w:tcW w:w="3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126,893</w:t>
            </w:r>
          </w:p>
        </w:tc>
        <w:tc>
          <w:tcPr>
            <w:tcW w:w="100" w:type="dxa"/>
            <w:vAlign w:val="bottom"/>
            <w:shd w:val="clear" w:color="auto" w:fill="CFF0FC"/>
          </w:tcPr>
          <w:p>
            <w:pPr>
              <w:spacing w:after="0"/>
              <w:rPr>
                <w:sz w:val="13"/>
                <w:szCs w:val="13"/>
                <w:color w:val="auto"/>
              </w:rPr>
            </w:pPr>
          </w:p>
        </w:tc>
      </w:tr>
      <w:tr>
        <w:trPr>
          <w:trHeight w:val="162"/>
        </w:trPr>
        <w:tc>
          <w:tcPr>
            <w:tcW w:w="4920" w:type="dxa"/>
            <w:vAlign w:val="bottom"/>
          </w:tcPr>
          <w:p>
            <w:pPr>
              <w:ind w:left="80"/>
              <w:spacing w:after="0"/>
              <w:rPr>
                <w:sz w:val="20"/>
                <w:szCs w:val="20"/>
                <w:color w:val="auto"/>
              </w:rPr>
            </w:pPr>
            <w:r>
              <w:rPr>
                <w:rFonts w:ascii="Arial" w:cs="Arial" w:eastAsia="Arial" w:hAnsi="Arial"/>
                <w:sz w:val="14"/>
                <w:szCs w:val="14"/>
                <w:color w:val="auto"/>
              </w:rPr>
              <w:t>Net realizable value adjustment</w:t>
            </w:r>
          </w:p>
        </w:tc>
        <w:tc>
          <w:tcPr>
            <w:tcW w:w="2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gridSpan w:val="2"/>
          </w:tcPr>
          <w:p>
            <w:pPr>
              <w:jc w:val="right"/>
              <w:ind w:right="260"/>
              <w:spacing w:after="0"/>
              <w:rPr>
                <w:sz w:val="20"/>
                <w:szCs w:val="20"/>
                <w:color w:val="auto"/>
              </w:rPr>
            </w:pPr>
            <w:r>
              <w:rPr>
                <w:rFonts w:ascii="Arial" w:cs="Arial" w:eastAsia="Arial" w:hAnsi="Arial"/>
                <w:sz w:val="14"/>
                <w:szCs w:val="14"/>
                <w:color w:val="auto"/>
              </w:rPr>
              <w:t>(3,934)</w:t>
            </w:r>
          </w:p>
        </w:tc>
        <w:tc>
          <w:tcPr>
            <w:tcW w:w="200" w:type="dxa"/>
            <w:vAlign w:val="bottom"/>
          </w:tcPr>
          <w:p>
            <w:pPr>
              <w:spacing w:after="0"/>
              <w:rPr>
                <w:sz w:val="14"/>
                <w:szCs w:val="14"/>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4"/>
                <w:szCs w:val="14"/>
                <w:color w:val="auto"/>
              </w:rPr>
              <w:t>(3,964)</w:t>
            </w:r>
          </w:p>
        </w:tc>
      </w:tr>
      <w:tr>
        <w:trPr>
          <w:trHeight w:val="195"/>
        </w:trPr>
        <w:tc>
          <w:tcPr>
            <w:tcW w:w="4920" w:type="dxa"/>
            <w:vAlign w:val="bottom"/>
            <w:tcBorders>
              <w:bottom w:val="single" w:sz="8" w:color="CFF0FC"/>
            </w:tcBorders>
            <w:shd w:val="clear" w:color="auto" w:fill="CFF0FC"/>
          </w:tcPr>
          <w:p>
            <w:pPr>
              <w:ind w:left="160"/>
              <w:spacing w:after="0" w:line="155" w:lineRule="exact"/>
              <w:rPr>
                <w:sz w:val="20"/>
                <w:szCs w:val="20"/>
                <w:color w:val="auto"/>
              </w:rPr>
            </w:pPr>
            <w:r>
              <w:rPr>
                <w:rFonts w:ascii="Arial" w:cs="Arial" w:eastAsia="Arial" w:hAnsi="Arial"/>
                <w:sz w:val="14"/>
                <w:szCs w:val="14"/>
                <w:color w:val="auto"/>
              </w:rPr>
              <w:t>Total inventories</w:t>
            </w:r>
          </w:p>
        </w:tc>
        <w:tc>
          <w:tcPr>
            <w:tcW w:w="26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103,931</w:t>
            </w:r>
          </w:p>
        </w:tc>
        <w:tc>
          <w:tcPr>
            <w:tcW w:w="3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122,929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48"/>
        </w:trPr>
        <w:tc>
          <w:tcPr>
            <w:tcW w:w="4920" w:type="dxa"/>
            <w:vAlign w:val="bottom"/>
          </w:tcPr>
          <w:p>
            <w:pPr>
              <w:spacing w:after="0"/>
              <w:rPr>
                <w:sz w:val="4"/>
                <w:szCs w:val="4"/>
                <w:color w:val="auto"/>
              </w:rPr>
            </w:pPr>
          </w:p>
        </w:tc>
        <w:tc>
          <w:tcPr>
            <w:tcW w:w="2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62"/>
        </w:trPr>
        <w:tc>
          <w:tcPr>
            <w:tcW w:w="4920" w:type="dxa"/>
            <w:vAlign w:val="bottom"/>
            <w:shd w:val="clear" w:color="auto" w:fill="CFF0FC"/>
          </w:tcPr>
          <w:p>
            <w:pPr>
              <w:spacing w:after="0"/>
              <w:rPr>
                <w:sz w:val="20"/>
                <w:szCs w:val="20"/>
                <w:color w:val="auto"/>
              </w:rPr>
            </w:pPr>
            <w:r>
              <w:rPr>
                <w:rFonts w:ascii="Arial" w:cs="Arial" w:eastAsia="Arial" w:hAnsi="Arial"/>
                <w:sz w:val="14"/>
                <w:szCs w:val="14"/>
                <w:color w:val="auto"/>
              </w:rPr>
              <w:t>Other current assets:</w:t>
            </w:r>
          </w:p>
        </w:tc>
        <w:tc>
          <w:tcPr>
            <w:tcW w:w="26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4920" w:type="dxa"/>
            <w:vAlign w:val="bottom"/>
          </w:tcPr>
          <w:p>
            <w:pPr>
              <w:ind w:left="80"/>
              <w:spacing w:after="0"/>
              <w:rPr>
                <w:sz w:val="20"/>
                <w:szCs w:val="20"/>
                <w:color w:val="auto"/>
              </w:rPr>
            </w:pPr>
            <w:r>
              <w:rPr>
                <w:rFonts w:ascii="Arial" w:cs="Arial" w:eastAsia="Arial" w:hAnsi="Arial"/>
                <w:sz w:val="14"/>
                <w:szCs w:val="14"/>
                <w:color w:val="auto"/>
              </w:rPr>
              <w:t>Prepaid expenses and other</w:t>
            </w:r>
          </w:p>
        </w:tc>
        <w:tc>
          <w:tcPr>
            <w:tcW w:w="284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2,980</w:t>
            </w:r>
          </w:p>
        </w:tc>
        <w:tc>
          <w:tcPr>
            <w:tcW w:w="30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3,475</w:t>
            </w:r>
          </w:p>
        </w:tc>
        <w:tc>
          <w:tcPr>
            <w:tcW w:w="100" w:type="dxa"/>
            <w:vAlign w:val="bottom"/>
          </w:tcPr>
          <w:p>
            <w:pPr>
              <w:spacing w:after="0"/>
              <w:rPr>
                <w:sz w:val="14"/>
                <w:szCs w:val="14"/>
                <w:color w:val="auto"/>
              </w:rPr>
            </w:pPr>
          </w:p>
        </w:tc>
      </w:tr>
      <w:tr>
        <w:trPr>
          <w:trHeight w:val="162"/>
        </w:trPr>
        <w:tc>
          <w:tcPr>
            <w:tcW w:w="4920" w:type="dxa"/>
            <w:vAlign w:val="bottom"/>
            <w:shd w:val="clear" w:color="auto" w:fill="CFF0FC"/>
          </w:tcPr>
          <w:p>
            <w:pPr>
              <w:ind w:left="80"/>
              <w:spacing w:after="0"/>
              <w:rPr>
                <w:sz w:val="20"/>
                <w:szCs w:val="20"/>
                <w:color w:val="auto"/>
              </w:rPr>
            </w:pPr>
            <w:r>
              <w:rPr>
                <w:rFonts w:ascii="Arial" w:cs="Arial" w:eastAsia="Arial" w:hAnsi="Arial"/>
                <w:sz w:val="14"/>
                <w:szCs w:val="14"/>
                <w:color w:val="auto"/>
              </w:rPr>
              <w:t>Value-added taxes receivable</w:t>
            </w:r>
          </w:p>
        </w:tc>
        <w:tc>
          <w:tcPr>
            <w:tcW w:w="26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2,059</w:t>
            </w: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2,365</w:t>
            </w:r>
          </w:p>
        </w:tc>
        <w:tc>
          <w:tcPr>
            <w:tcW w:w="100" w:type="dxa"/>
            <w:vAlign w:val="bottom"/>
            <w:shd w:val="clear" w:color="auto" w:fill="CFF0FC"/>
          </w:tcPr>
          <w:p>
            <w:pPr>
              <w:spacing w:after="0"/>
              <w:rPr>
                <w:sz w:val="14"/>
                <w:szCs w:val="14"/>
                <w:color w:val="auto"/>
              </w:rPr>
            </w:pPr>
          </w:p>
        </w:tc>
      </w:tr>
      <w:tr>
        <w:trPr>
          <w:trHeight w:val="162"/>
        </w:trPr>
        <w:tc>
          <w:tcPr>
            <w:tcW w:w="4920" w:type="dxa"/>
            <w:vAlign w:val="bottom"/>
          </w:tcPr>
          <w:p>
            <w:pPr>
              <w:ind w:left="80"/>
              <w:spacing w:after="0"/>
              <w:rPr>
                <w:sz w:val="20"/>
                <w:szCs w:val="20"/>
                <w:color w:val="auto"/>
              </w:rPr>
            </w:pPr>
            <w:r>
              <w:rPr>
                <w:rFonts w:ascii="Arial" w:cs="Arial" w:eastAsia="Arial" w:hAnsi="Arial"/>
                <w:sz w:val="14"/>
                <w:szCs w:val="14"/>
                <w:color w:val="auto"/>
              </w:rPr>
              <w:t>Vendor deposits</w:t>
            </w:r>
          </w:p>
        </w:tc>
        <w:tc>
          <w:tcPr>
            <w:tcW w:w="2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1,913</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2,775</w:t>
            </w:r>
          </w:p>
        </w:tc>
        <w:tc>
          <w:tcPr>
            <w:tcW w:w="100" w:type="dxa"/>
            <w:vAlign w:val="bottom"/>
          </w:tcPr>
          <w:p>
            <w:pPr>
              <w:spacing w:after="0"/>
              <w:rPr>
                <w:sz w:val="14"/>
                <w:szCs w:val="14"/>
                <w:color w:val="auto"/>
              </w:rPr>
            </w:pPr>
          </w:p>
        </w:tc>
      </w:tr>
      <w:tr>
        <w:trPr>
          <w:trHeight w:val="162"/>
        </w:trPr>
        <w:tc>
          <w:tcPr>
            <w:tcW w:w="492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4"/>
                <w:szCs w:val="14"/>
                <w:color w:val="auto"/>
              </w:rPr>
              <w:t>Contract assets</w:t>
            </w:r>
          </w:p>
        </w:tc>
        <w:tc>
          <w:tcPr>
            <w:tcW w:w="264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385</w:t>
            </w:r>
          </w:p>
        </w:tc>
        <w:tc>
          <w:tcPr>
            <w:tcW w:w="3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607</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4920" w:type="dxa"/>
            <w:vAlign w:val="bottom"/>
          </w:tcPr>
          <w:p>
            <w:pPr>
              <w:ind w:left="160"/>
              <w:spacing w:after="0" w:line="155" w:lineRule="exact"/>
              <w:rPr>
                <w:sz w:val="20"/>
                <w:szCs w:val="20"/>
                <w:color w:val="auto"/>
              </w:rPr>
            </w:pPr>
            <w:r>
              <w:rPr>
                <w:rFonts w:ascii="Arial" w:cs="Arial" w:eastAsia="Arial" w:hAnsi="Arial"/>
                <w:sz w:val="14"/>
                <w:szCs w:val="14"/>
                <w:color w:val="auto"/>
              </w:rPr>
              <w:t>Total other current assets</w:t>
            </w:r>
          </w:p>
        </w:tc>
        <w:tc>
          <w:tcPr>
            <w:tcW w:w="2640" w:type="dxa"/>
            <w:vAlign w:val="bottom"/>
          </w:tcPr>
          <w:p>
            <w:pPr>
              <w:spacing w:after="0"/>
              <w:rPr>
                <w:sz w:val="13"/>
                <w:szCs w:val="13"/>
                <w:color w:val="auto"/>
              </w:rPr>
            </w:pPr>
          </w:p>
        </w:tc>
        <w:tc>
          <w:tcPr>
            <w:tcW w:w="20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7,337</w:t>
            </w:r>
          </w:p>
        </w:tc>
        <w:tc>
          <w:tcPr>
            <w:tcW w:w="300" w:type="dxa"/>
            <w:vAlign w:val="bottom"/>
          </w:tcPr>
          <w:p>
            <w:pPr>
              <w:spacing w:after="0"/>
              <w:rPr>
                <w:sz w:val="13"/>
                <w:szCs w:val="13"/>
                <w:color w:val="auto"/>
              </w:rPr>
            </w:pPr>
          </w:p>
        </w:tc>
        <w:tc>
          <w:tcPr>
            <w:tcW w:w="20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9,222</w:t>
            </w:r>
          </w:p>
        </w:tc>
        <w:tc>
          <w:tcPr>
            <w:tcW w:w="100" w:type="dxa"/>
            <w:vAlign w:val="bottom"/>
          </w:tcPr>
          <w:p>
            <w:pPr>
              <w:spacing w:after="0"/>
              <w:rPr>
                <w:sz w:val="13"/>
                <w:szCs w:val="13"/>
                <w:color w:val="auto"/>
              </w:rPr>
            </w:pPr>
          </w:p>
        </w:tc>
      </w:tr>
      <w:tr>
        <w:trPr>
          <w:trHeight w:val="68"/>
        </w:trPr>
        <w:tc>
          <w:tcPr>
            <w:tcW w:w="4920" w:type="dxa"/>
            <w:vAlign w:val="bottom"/>
          </w:tcPr>
          <w:p>
            <w:pPr>
              <w:spacing w:after="0"/>
              <w:rPr>
                <w:sz w:val="5"/>
                <w:szCs w:val="5"/>
                <w:color w:val="auto"/>
              </w:rPr>
            </w:pPr>
          </w:p>
        </w:tc>
        <w:tc>
          <w:tcPr>
            <w:tcW w:w="264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162"/>
        </w:trPr>
        <w:tc>
          <w:tcPr>
            <w:tcW w:w="4920" w:type="dxa"/>
            <w:vAlign w:val="bottom"/>
            <w:tcBorders>
              <w:top w:val="single" w:sz="8" w:color="CFF0FC"/>
            </w:tcBorders>
          </w:tcPr>
          <w:p>
            <w:pPr>
              <w:spacing w:after="0"/>
              <w:rPr>
                <w:sz w:val="20"/>
                <w:szCs w:val="20"/>
                <w:color w:val="auto"/>
              </w:rPr>
            </w:pPr>
            <w:r>
              <w:rPr>
                <w:rFonts w:ascii="Arial" w:cs="Arial" w:eastAsia="Arial" w:hAnsi="Arial"/>
                <w:sz w:val="14"/>
                <w:szCs w:val="14"/>
                <w:color w:val="auto"/>
              </w:rPr>
              <w:t>Property, plant and equipment, net:</w:t>
            </w:r>
          </w:p>
        </w:tc>
        <w:tc>
          <w:tcPr>
            <w:tcW w:w="2640" w:type="dxa"/>
            <w:vAlign w:val="bottom"/>
            <w:tcBorders>
              <w:top w:val="single" w:sz="8" w:color="CFF0FC"/>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1460" w:type="dxa"/>
            <w:vAlign w:val="bottom"/>
            <w:tcBorders>
              <w:top w:val="single" w:sz="8" w:color="CFF0FC"/>
            </w:tcBorders>
          </w:tcPr>
          <w:p>
            <w:pPr>
              <w:spacing w:after="0"/>
              <w:rPr>
                <w:sz w:val="14"/>
                <w:szCs w:val="14"/>
                <w:color w:val="auto"/>
              </w:rPr>
            </w:pPr>
          </w:p>
        </w:tc>
        <w:tc>
          <w:tcPr>
            <w:tcW w:w="300" w:type="dxa"/>
            <w:vAlign w:val="bottom"/>
            <w:tcBorders>
              <w:top w:val="single" w:sz="8" w:color="CFF0FC"/>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142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r>
      <w:tr>
        <w:trPr>
          <w:trHeight w:val="162"/>
        </w:trPr>
        <w:tc>
          <w:tcPr>
            <w:tcW w:w="4920" w:type="dxa"/>
            <w:vAlign w:val="bottom"/>
            <w:shd w:val="clear" w:color="auto" w:fill="CFF0FC"/>
          </w:tcPr>
          <w:p>
            <w:pPr>
              <w:ind w:left="80"/>
              <w:spacing w:after="0"/>
              <w:rPr>
                <w:sz w:val="20"/>
                <w:szCs w:val="20"/>
                <w:color w:val="auto"/>
              </w:rPr>
            </w:pPr>
            <w:r>
              <w:rPr>
                <w:rFonts w:ascii="Arial" w:cs="Arial" w:eastAsia="Arial" w:hAnsi="Arial"/>
                <w:sz w:val="14"/>
                <w:szCs w:val="14"/>
                <w:color w:val="auto"/>
              </w:rPr>
              <w:t>Land</w:t>
            </w:r>
          </w:p>
        </w:tc>
        <w:tc>
          <w:tcPr>
            <w:tcW w:w="284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1,061</w:t>
            </w: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1,039</w:t>
            </w:r>
          </w:p>
        </w:tc>
        <w:tc>
          <w:tcPr>
            <w:tcW w:w="100" w:type="dxa"/>
            <w:vAlign w:val="bottom"/>
            <w:shd w:val="clear" w:color="auto" w:fill="CFF0FC"/>
          </w:tcPr>
          <w:p>
            <w:pPr>
              <w:spacing w:after="0"/>
              <w:rPr>
                <w:sz w:val="14"/>
                <w:szCs w:val="14"/>
                <w:color w:val="auto"/>
              </w:rPr>
            </w:pPr>
          </w:p>
        </w:tc>
      </w:tr>
      <w:tr>
        <w:trPr>
          <w:trHeight w:val="162"/>
        </w:trPr>
        <w:tc>
          <w:tcPr>
            <w:tcW w:w="4920" w:type="dxa"/>
            <w:vAlign w:val="bottom"/>
          </w:tcPr>
          <w:p>
            <w:pPr>
              <w:ind w:left="80"/>
              <w:spacing w:after="0"/>
              <w:rPr>
                <w:sz w:val="20"/>
                <w:szCs w:val="20"/>
                <w:color w:val="auto"/>
              </w:rPr>
            </w:pPr>
            <w:r>
              <w:rPr>
                <w:rFonts w:ascii="Arial" w:cs="Arial" w:eastAsia="Arial" w:hAnsi="Arial"/>
                <w:sz w:val="14"/>
                <w:szCs w:val="14"/>
                <w:color w:val="auto"/>
              </w:rPr>
              <w:t>Land improvements</w:t>
            </w:r>
          </w:p>
        </w:tc>
        <w:tc>
          <w:tcPr>
            <w:tcW w:w="2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10,425</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10,425</w:t>
            </w:r>
          </w:p>
        </w:tc>
        <w:tc>
          <w:tcPr>
            <w:tcW w:w="100" w:type="dxa"/>
            <w:vAlign w:val="bottom"/>
          </w:tcPr>
          <w:p>
            <w:pPr>
              <w:spacing w:after="0"/>
              <w:rPr>
                <w:sz w:val="14"/>
                <w:szCs w:val="14"/>
                <w:color w:val="auto"/>
              </w:rPr>
            </w:pPr>
          </w:p>
        </w:tc>
      </w:tr>
      <w:tr>
        <w:trPr>
          <w:trHeight w:val="162"/>
        </w:trPr>
        <w:tc>
          <w:tcPr>
            <w:tcW w:w="4920" w:type="dxa"/>
            <w:vAlign w:val="bottom"/>
            <w:shd w:val="clear" w:color="auto" w:fill="CFF0FC"/>
          </w:tcPr>
          <w:p>
            <w:pPr>
              <w:ind w:left="80"/>
              <w:spacing w:after="0"/>
              <w:rPr>
                <w:sz w:val="20"/>
                <w:szCs w:val="20"/>
                <w:color w:val="auto"/>
              </w:rPr>
            </w:pPr>
            <w:r>
              <w:rPr>
                <w:rFonts w:ascii="Arial" w:cs="Arial" w:eastAsia="Arial" w:hAnsi="Arial"/>
                <w:sz w:val="14"/>
                <w:szCs w:val="14"/>
                <w:color w:val="auto"/>
              </w:rPr>
              <w:t>Buildings and improvements</w:t>
            </w:r>
          </w:p>
        </w:tc>
        <w:tc>
          <w:tcPr>
            <w:tcW w:w="26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127,091</w:t>
            </w: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126,720</w:t>
            </w:r>
          </w:p>
        </w:tc>
        <w:tc>
          <w:tcPr>
            <w:tcW w:w="100" w:type="dxa"/>
            <w:vAlign w:val="bottom"/>
            <w:shd w:val="clear" w:color="auto" w:fill="CFF0FC"/>
          </w:tcPr>
          <w:p>
            <w:pPr>
              <w:spacing w:after="0"/>
              <w:rPr>
                <w:sz w:val="14"/>
                <w:szCs w:val="14"/>
                <w:color w:val="auto"/>
              </w:rPr>
            </w:pPr>
          </w:p>
        </w:tc>
      </w:tr>
      <w:tr>
        <w:trPr>
          <w:trHeight w:val="162"/>
        </w:trPr>
        <w:tc>
          <w:tcPr>
            <w:tcW w:w="4920" w:type="dxa"/>
            <w:vAlign w:val="bottom"/>
          </w:tcPr>
          <w:p>
            <w:pPr>
              <w:ind w:left="80"/>
              <w:spacing w:after="0"/>
              <w:rPr>
                <w:sz w:val="20"/>
                <w:szCs w:val="20"/>
                <w:color w:val="auto"/>
              </w:rPr>
            </w:pPr>
            <w:r>
              <w:rPr>
                <w:rFonts w:ascii="Arial" w:cs="Arial" w:eastAsia="Arial" w:hAnsi="Arial"/>
                <w:sz w:val="14"/>
                <w:szCs w:val="14"/>
                <w:color w:val="auto"/>
              </w:rPr>
              <w:t>Assets under finance leases</w:t>
            </w:r>
          </w:p>
        </w:tc>
        <w:tc>
          <w:tcPr>
            <w:tcW w:w="2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20,555</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19,756</w:t>
            </w:r>
          </w:p>
        </w:tc>
        <w:tc>
          <w:tcPr>
            <w:tcW w:w="100" w:type="dxa"/>
            <w:vAlign w:val="bottom"/>
          </w:tcPr>
          <w:p>
            <w:pPr>
              <w:spacing w:after="0"/>
              <w:rPr>
                <w:sz w:val="14"/>
                <w:szCs w:val="14"/>
                <w:color w:val="auto"/>
              </w:rPr>
            </w:pPr>
          </w:p>
        </w:tc>
      </w:tr>
      <w:tr>
        <w:trPr>
          <w:trHeight w:val="162"/>
        </w:trPr>
        <w:tc>
          <w:tcPr>
            <w:tcW w:w="4920" w:type="dxa"/>
            <w:vAlign w:val="bottom"/>
            <w:shd w:val="clear" w:color="auto" w:fill="CFF0FC"/>
          </w:tcPr>
          <w:p>
            <w:pPr>
              <w:ind w:left="80"/>
              <w:spacing w:after="0"/>
              <w:rPr>
                <w:sz w:val="20"/>
                <w:szCs w:val="20"/>
                <w:color w:val="auto"/>
              </w:rPr>
            </w:pPr>
            <w:r>
              <w:rPr>
                <w:rFonts w:ascii="Arial" w:cs="Arial" w:eastAsia="Arial" w:hAnsi="Arial"/>
                <w:sz w:val="14"/>
                <w:szCs w:val="14"/>
                <w:color w:val="auto"/>
              </w:rPr>
              <w:t>Machinery and equipment</w:t>
            </w:r>
          </w:p>
        </w:tc>
        <w:tc>
          <w:tcPr>
            <w:tcW w:w="26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588,598</w:t>
            </w: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593,771</w:t>
            </w:r>
          </w:p>
        </w:tc>
        <w:tc>
          <w:tcPr>
            <w:tcW w:w="100" w:type="dxa"/>
            <w:vAlign w:val="bottom"/>
            <w:shd w:val="clear" w:color="auto" w:fill="CFF0FC"/>
          </w:tcPr>
          <w:p>
            <w:pPr>
              <w:spacing w:after="0"/>
              <w:rPr>
                <w:sz w:val="14"/>
                <w:szCs w:val="14"/>
                <w:color w:val="auto"/>
              </w:rPr>
            </w:pPr>
          </w:p>
        </w:tc>
      </w:tr>
      <w:tr>
        <w:trPr>
          <w:trHeight w:val="162"/>
        </w:trPr>
        <w:tc>
          <w:tcPr>
            <w:tcW w:w="4920" w:type="dxa"/>
            <w:vAlign w:val="bottom"/>
          </w:tcPr>
          <w:p>
            <w:pPr>
              <w:ind w:left="80"/>
              <w:spacing w:after="0"/>
              <w:rPr>
                <w:sz w:val="20"/>
                <w:szCs w:val="20"/>
                <w:color w:val="auto"/>
              </w:rPr>
            </w:pPr>
            <w:r>
              <w:rPr>
                <w:rFonts w:ascii="Arial" w:cs="Arial" w:eastAsia="Arial" w:hAnsi="Arial"/>
                <w:sz w:val="14"/>
                <w:szCs w:val="14"/>
                <w:color w:val="auto"/>
              </w:rPr>
              <w:t>Computers, software and office equipment</w:t>
            </w:r>
          </w:p>
        </w:tc>
        <w:tc>
          <w:tcPr>
            <w:tcW w:w="2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25,260</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25,400</w:t>
            </w:r>
          </w:p>
        </w:tc>
        <w:tc>
          <w:tcPr>
            <w:tcW w:w="100" w:type="dxa"/>
            <w:vAlign w:val="bottom"/>
          </w:tcPr>
          <w:p>
            <w:pPr>
              <w:spacing w:after="0"/>
              <w:rPr>
                <w:sz w:val="14"/>
                <w:szCs w:val="14"/>
                <w:color w:val="auto"/>
              </w:rPr>
            </w:pPr>
          </w:p>
        </w:tc>
      </w:tr>
      <w:tr>
        <w:trPr>
          <w:trHeight w:val="162"/>
        </w:trPr>
        <w:tc>
          <w:tcPr>
            <w:tcW w:w="4920" w:type="dxa"/>
            <w:vAlign w:val="bottom"/>
            <w:shd w:val="clear" w:color="auto" w:fill="CFF0FC"/>
          </w:tcPr>
          <w:p>
            <w:pPr>
              <w:ind w:left="80"/>
              <w:spacing w:after="0"/>
              <w:rPr>
                <w:sz w:val="20"/>
                <w:szCs w:val="20"/>
                <w:color w:val="auto"/>
              </w:rPr>
            </w:pPr>
            <w:r>
              <w:rPr>
                <w:rFonts w:ascii="Arial" w:cs="Arial" w:eastAsia="Arial" w:hAnsi="Arial"/>
                <w:sz w:val="14"/>
                <w:szCs w:val="14"/>
                <w:color w:val="auto"/>
              </w:rPr>
              <w:t>Transportation equipment</w:t>
            </w:r>
          </w:p>
        </w:tc>
        <w:tc>
          <w:tcPr>
            <w:tcW w:w="26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10,589</w:t>
            </w: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10,789</w:t>
            </w:r>
          </w:p>
        </w:tc>
        <w:tc>
          <w:tcPr>
            <w:tcW w:w="100" w:type="dxa"/>
            <w:vAlign w:val="bottom"/>
            <w:shd w:val="clear" w:color="auto" w:fill="CFF0FC"/>
          </w:tcPr>
          <w:p>
            <w:pPr>
              <w:spacing w:after="0"/>
              <w:rPr>
                <w:sz w:val="14"/>
                <w:szCs w:val="14"/>
                <w:color w:val="auto"/>
              </w:rPr>
            </w:pPr>
          </w:p>
        </w:tc>
      </w:tr>
      <w:tr>
        <w:trPr>
          <w:trHeight w:val="162"/>
        </w:trPr>
        <w:tc>
          <w:tcPr>
            <w:tcW w:w="4920" w:type="dxa"/>
            <w:vAlign w:val="bottom"/>
          </w:tcPr>
          <w:p>
            <w:pPr>
              <w:ind w:left="80"/>
              <w:spacing w:after="0"/>
              <w:rPr>
                <w:sz w:val="20"/>
                <w:szCs w:val="20"/>
                <w:color w:val="auto"/>
              </w:rPr>
            </w:pPr>
            <w:r>
              <w:rPr>
                <w:rFonts w:ascii="Arial" w:cs="Arial" w:eastAsia="Arial" w:hAnsi="Arial"/>
                <w:sz w:val="14"/>
                <w:szCs w:val="14"/>
                <w:color w:val="auto"/>
              </w:rPr>
              <w:t>Construction in progress</w:t>
            </w:r>
          </w:p>
        </w:tc>
        <w:tc>
          <w:tcPr>
            <w:tcW w:w="26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562</w:t>
            </w: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2,153</w:t>
            </w:r>
          </w:p>
        </w:tc>
        <w:tc>
          <w:tcPr>
            <w:tcW w:w="100" w:type="dxa"/>
            <w:vAlign w:val="bottom"/>
          </w:tcPr>
          <w:p>
            <w:pPr>
              <w:spacing w:after="0"/>
              <w:rPr>
                <w:sz w:val="14"/>
                <w:szCs w:val="14"/>
                <w:color w:val="auto"/>
              </w:rPr>
            </w:pPr>
          </w:p>
        </w:tc>
      </w:tr>
      <w:tr>
        <w:trPr>
          <w:trHeight w:val="156"/>
        </w:trPr>
        <w:tc>
          <w:tcPr>
            <w:tcW w:w="4920" w:type="dxa"/>
            <w:vAlign w:val="bottom"/>
            <w:shd w:val="clear" w:color="auto" w:fill="CFF0FC"/>
          </w:tcPr>
          <w:p>
            <w:pPr>
              <w:ind w:left="80"/>
              <w:spacing w:after="0" w:line="155" w:lineRule="exact"/>
              <w:rPr>
                <w:sz w:val="20"/>
                <w:szCs w:val="20"/>
                <w:color w:val="auto"/>
              </w:rPr>
            </w:pPr>
            <w:r>
              <w:rPr>
                <w:rFonts w:ascii="Arial" w:cs="Arial" w:eastAsia="Arial" w:hAnsi="Arial"/>
                <w:sz w:val="14"/>
                <w:szCs w:val="14"/>
                <w:color w:val="auto"/>
              </w:rPr>
              <w:t>Gross property, plant and equipment</w:t>
            </w:r>
          </w:p>
        </w:tc>
        <w:tc>
          <w:tcPr>
            <w:tcW w:w="26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784,141</w:t>
            </w:r>
          </w:p>
        </w:tc>
        <w:tc>
          <w:tcPr>
            <w:tcW w:w="3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790,053</w:t>
            </w:r>
          </w:p>
        </w:tc>
        <w:tc>
          <w:tcPr>
            <w:tcW w:w="100" w:type="dxa"/>
            <w:vAlign w:val="bottom"/>
            <w:shd w:val="clear" w:color="auto" w:fill="CFF0FC"/>
          </w:tcPr>
          <w:p>
            <w:pPr>
              <w:spacing w:after="0"/>
              <w:rPr>
                <w:sz w:val="13"/>
                <w:szCs w:val="13"/>
                <w:color w:val="auto"/>
              </w:rPr>
            </w:pPr>
          </w:p>
        </w:tc>
      </w:tr>
      <w:tr>
        <w:trPr>
          <w:trHeight w:val="162"/>
        </w:trPr>
        <w:tc>
          <w:tcPr>
            <w:tcW w:w="4920" w:type="dxa"/>
            <w:vAlign w:val="bottom"/>
          </w:tcPr>
          <w:p>
            <w:pPr>
              <w:ind w:left="80"/>
              <w:spacing w:after="0"/>
              <w:rPr>
                <w:sz w:val="20"/>
                <w:szCs w:val="20"/>
                <w:color w:val="auto"/>
              </w:rPr>
            </w:pPr>
            <w:r>
              <w:rPr>
                <w:rFonts w:ascii="Arial" w:cs="Arial" w:eastAsia="Arial" w:hAnsi="Arial"/>
                <w:sz w:val="14"/>
                <w:szCs w:val="14"/>
                <w:color w:val="auto"/>
              </w:rPr>
              <w:t>Less: accumulated depreciation</w:t>
            </w:r>
          </w:p>
        </w:tc>
        <w:tc>
          <w:tcPr>
            <w:tcW w:w="2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gridSpan w:val="2"/>
          </w:tcPr>
          <w:p>
            <w:pPr>
              <w:jc w:val="right"/>
              <w:ind w:right="260"/>
              <w:spacing w:after="0"/>
              <w:rPr>
                <w:sz w:val="20"/>
                <w:szCs w:val="20"/>
                <w:color w:val="auto"/>
              </w:rPr>
            </w:pPr>
            <w:r>
              <w:rPr>
                <w:rFonts w:ascii="Arial" w:cs="Arial" w:eastAsia="Arial" w:hAnsi="Arial"/>
                <w:sz w:val="14"/>
                <w:szCs w:val="14"/>
                <w:color w:val="auto"/>
              </w:rPr>
              <w:t>(614,171)</w:t>
            </w:r>
          </w:p>
        </w:tc>
        <w:tc>
          <w:tcPr>
            <w:tcW w:w="200" w:type="dxa"/>
            <w:vAlign w:val="bottom"/>
          </w:tcPr>
          <w:p>
            <w:pPr>
              <w:spacing w:after="0"/>
              <w:rPr>
                <w:sz w:val="14"/>
                <w:szCs w:val="14"/>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4"/>
                <w:szCs w:val="14"/>
                <w:color w:val="auto"/>
              </w:rPr>
              <w:t>(608,133)</w:t>
            </w:r>
          </w:p>
        </w:tc>
      </w:tr>
      <w:tr>
        <w:trPr>
          <w:trHeight w:val="162"/>
        </w:trPr>
        <w:tc>
          <w:tcPr>
            <w:tcW w:w="4920" w:type="dxa"/>
            <w:vAlign w:val="bottom"/>
            <w:shd w:val="clear" w:color="auto" w:fill="CFF0FC"/>
          </w:tcPr>
          <w:p>
            <w:pPr>
              <w:ind w:left="80"/>
              <w:spacing w:after="0"/>
              <w:rPr>
                <w:sz w:val="20"/>
                <w:szCs w:val="20"/>
                <w:color w:val="auto"/>
              </w:rPr>
            </w:pPr>
            <w:r>
              <w:rPr>
                <w:rFonts w:ascii="Arial" w:cs="Arial" w:eastAsia="Arial" w:hAnsi="Arial"/>
                <w:sz w:val="14"/>
                <w:szCs w:val="14"/>
                <w:color w:val="auto"/>
              </w:rPr>
              <w:t>Less: accumulated amortization – finance leases</w:t>
            </w:r>
          </w:p>
        </w:tc>
        <w:tc>
          <w:tcPr>
            <w:tcW w:w="26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7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(7,261)</w:t>
            </w:r>
          </w:p>
        </w:tc>
        <w:tc>
          <w:tcPr>
            <w:tcW w:w="200" w:type="dxa"/>
            <w:vAlign w:val="bottom"/>
            <w:shd w:val="clear" w:color="auto" w:fill="CFF0FC"/>
          </w:tcPr>
          <w:p>
            <w:pPr>
              <w:spacing w:after="0"/>
              <w:rPr>
                <w:sz w:val="14"/>
                <w:szCs w:val="14"/>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(8,997)</w:t>
            </w:r>
          </w:p>
        </w:tc>
      </w:tr>
      <w:tr>
        <w:trPr>
          <w:trHeight w:val="155"/>
        </w:trPr>
        <w:tc>
          <w:tcPr>
            <w:tcW w:w="4920" w:type="dxa"/>
            <w:vAlign w:val="bottom"/>
            <w:tcBorders>
              <w:top w:val="single" w:sz="8" w:color="CFF0FC"/>
              <w:bottom w:val="single" w:sz="8" w:color="CFF0FC"/>
            </w:tcBorders>
          </w:tcPr>
          <w:p>
            <w:pPr>
              <w:ind w:left="160"/>
              <w:spacing w:after="0" w:line="155" w:lineRule="exact"/>
              <w:rPr>
                <w:sz w:val="20"/>
                <w:szCs w:val="20"/>
                <w:color w:val="auto"/>
              </w:rPr>
            </w:pPr>
            <w:r>
              <w:rPr>
                <w:rFonts w:ascii="Arial" w:cs="Arial" w:eastAsia="Arial" w:hAnsi="Arial"/>
                <w:sz w:val="14"/>
                <w:szCs w:val="14"/>
                <w:color w:val="auto"/>
              </w:rPr>
              <w:t>Total property, plant and equipment, net</w:t>
            </w:r>
          </w:p>
        </w:tc>
        <w:tc>
          <w:tcPr>
            <w:tcW w:w="2640" w:type="dxa"/>
            <w:vAlign w:val="bottom"/>
            <w:tcBorders>
              <w:top w:val="single" w:sz="8" w:color="CFF0FC"/>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162,709</w:t>
            </w:r>
          </w:p>
        </w:tc>
        <w:tc>
          <w:tcPr>
            <w:tcW w:w="300" w:type="dxa"/>
            <w:vAlign w:val="bottom"/>
            <w:tcBorders>
              <w:top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172,923</w:t>
            </w:r>
          </w:p>
        </w:tc>
        <w:tc>
          <w:tcPr>
            <w:tcW w:w="100" w:type="dxa"/>
            <w:vAlign w:val="bottom"/>
            <w:tcBorders>
              <w:top w:val="single" w:sz="8" w:color="CFF0FC"/>
            </w:tcBorders>
          </w:tcPr>
          <w:p>
            <w:pPr>
              <w:spacing w:after="0"/>
              <w:rPr>
                <w:sz w:val="13"/>
                <w:szCs w:val="13"/>
                <w:color w:val="auto"/>
              </w:rPr>
            </w:pPr>
          </w:p>
        </w:tc>
      </w:tr>
      <w:tr>
        <w:trPr>
          <w:trHeight w:val="68"/>
        </w:trPr>
        <w:tc>
          <w:tcPr>
            <w:tcW w:w="4920" w:type="dxa"/>
            <w:vAlign w:val="bottom"/>
          </w:tcPr>
          <w:p>
            <w:pPr>
              <w:spacing w:after="0"/>
              <w:rPr>
                <w:sz w:val="5"/>
                <w:szCs w:val="5"/>
                <w:color w:val="auto"/>
              </w:rPr>
            </w:pPr>
          </w:p>
        </w:tc>
        <w:tc>
          <w:tcPr>
            <w:tcW w:w="264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162"/>
        </w:trPr>
        <w:tc>
          <w:tcPr>
            <w:tcW w:w="4920" w:type="dxa"/>
            <w:vAlign w:val="bottom"/>
            <w:tcBorders>
              <w:top w:val="single" w:sz="8" w:color="CFF0FC"/>
            </w:tcBorders>
          </w:tcPr>
          <w:p>
            <w:pPr>
              <w:spacing w:after="0"/>
              <w:rPr>
                <w:sz w:val="20"/>
                <w:szCs w:val="20"/>
                <w:color w:val="auto"/>
              </w:rPr>
            </w:pPr>
            <w:r>
              <w:rPr>
                <w:rFonts w:ascii="Arial" w:cs="Arial" w:eastAsia="Arial" w:hAnsi="Arial"/>
                <w:sz w:val="14"/>
                <w:szCs w:val="14"/>
                <w:color w:val="auto"/>
              </w:rPr>
              <w:t>Other non-current assets:</w:t>
            </w:r>
          </w:p>
        </w:tc>
        <w:tc>
          <w:tcPr>
            <w:tcW w:w="2640" w:type="dxa"/>
            <w:vAlign w:val="bottom"/>
            <w:tcBorders>
              <w:top w:val="single" w:sz="8" w:color="CFF0FC"/>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1460" w:type="dxa"/>
            <w:vAlign w:val="bottom"/>
            <w:tcBorders>
              <w:top w:val="single" w:sz="8" w:color="CFF0FC"/>
            </w:tcBorders>
          </w:tcPr>
          <w:p>
            <w:pPr>
              <w:spacing w:after="0"/>
              <w:rPr>
                <w:sz w:val="14"/>
                <w:szCs w:val="14"/>
                <w:color w:val="auto"/>
              </w:rPr>
            </w:pPr>
          </w:p>
        </w:tc>
        <w:tc>
          <w:tcPr>
            <w:tcW w:w="300" w:type="dxa"/>
            <w:vAlign w:val="bottom"/>
            <w:tcBorders>
              <w:top w:val="single" w:sz="8" w:color="CFF0FC"/>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142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r>
      <w:tr>
        <w:trPr>
          <w:trHeight w:val="162"/>
        </w:trPr>
        <w:tc>
          <w:tcPr>
            <w:tcW w:w="4920" w:type="dxa"/>
            <w:vAlign w:val="bottom"/>
            <w:shd w:val="clear" w:color="auto" w:fill="CFF0FC"/>
          </w:tcPr>
          <w:p>
            <w:pPr>
              <w:ind w:left="80"/>
              <w:spacing w:after="0"/>
              <w:rPr>
                <w:sz w:val="20"/>
                <w:szCs w:val="20"/>
                <w:color w:val="auto"/>
              </w:rPr>
            </w:pPr>
            <w:r>
              <w:rPr>
                <w:rFonts w:ascii="Arial" w:cs="Arial" w:eastAsia="Arial" w:hAnsi="Arial"/>
                <w:sz w:val="14"/>
                <w:szCs w:val="14"/>
                <w:color w:val="auto"/>
              </w:rPr>
              <w:t>Grantor trust</w:t>
            </w:r>
          </w:p>
        </w:tc>
        <w:tc>
          <w:tcPr>
            <w:tcW w:w="284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2,635</w:t>
            </w: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2,310</w:t>
            </w:r>
          </w:p>
        </w:tc>
        <w:tc>
          <w:tcPr>
            <w:tcW w:w="100" w:type="dxa"/>
            <w:vAlign w:val="bottom"/>
            <w:shd w:val="clear" w:color="auto" w:fill="CFF0FC"/>
          </w:tcPr>
          <w:p>
            <w:pPr>
              <w:spacing w:after="0"/>
              <w:rPr>
                <w:sz w:val="14"/>
                <w:szCs w:val="14"/>
                <w:color w:val="auto"/>
              </w:rPr>
            </w:pPr>
          </w:p>
        </w:tc>
      </w:tr>
      <w:tr>
        <w:trPr>
          <w:trHeight w:val="162"/>
        </w:trPr>
        <w:tc>
          <w:tcPr>
            <w:tcW w:w="4920" w:type="dxa"/>
            <w:vAlign w:val="bottom"/>
          </w:tcPr>
          <w:p>
            <w:pPr>
              <w:ind w:left="80"/>
              <w:spacing w:after="0"/>
              <w:rPr>
                <w:sz w:val="20"/>
                <w:szCs w:val="20"/>
                <w:color w:val="auto"/>
              </w:rPr>
            </w:pPr>
            <w:r>
              <w:rPr>
                <w:rFonts w:ascii="Arial" w:cs="Arial" w:eastAsia="Arial" w:hAnsi="Arial"/>
                <w:sz w:val="14"/>
                <w:szCs w:val="14"/>
                <w:color w:val="auto"/>
              </w:rPr>
              <w:t>Investment in unconsolidated affiliate</w:t>
            </w:r>
          </w:p>
        </w:tc>
        <w:tc>
          <w:tcPr>
            <w:tcW w:w="2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902</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1,151</w:t>
            </w:r>
          </w:p>
        </w:tc>
        <w:tc>
          <w:tcPr>
            <w:tcW w:w="100" w:type="dxa"/>
            <w:vAlign w:val="bottom"/>
          </w:tcPr>
          <w:p>
            <w:pPr>
              <w:spacing w:after="0"/>
              <w:rPr>
                <w:sz w:val="14"/>
                <w:szCs w:val="14"/>
                <w:color w:val="auto"/>
              </w:rPr>
            </w:pPr>
          </w:p>
        </w:tc>
      </w:tr>
      <w:tr>
        <w:trPr>
          <w:trHeight w:val="162"/>
        </w:trPr>
        <w:tc>
          <w:tcPr>
            <w:tcW w:w="4920" w:type="dxa"/>
            <w:vAlign w:val="bottom"/>
            <w:shd w:val="clear" w:color="auto" w:fill="CFF0FC"/>
          </w:tcPr>
          <w:p>
            <w:pPr>
              <w:ind w:left="80"/>
              <w:spacing w:after="0"/>
              <w:rPr>
                <w:sz w:val="20"/>
                <w:szCs w:val="20"/>
                <w:color w:val="auto"/>
              </w:rPr>
            </w:pPr>
            <w:r>
              <w:rPr>
                <w:rFonts w:ascii="Arial" w:cs="Arial" w:eastAsia="Arial" w:hAnsi="Arial"/>
                <w:sz w:val="14"/>
                <w:szCs w:val="14"/>
                <w:color w:val="auto"/>
              </w:rPr>
              <w:t>Intangible assets, net</w:t>
            </w:r>
          </w:p>
        </w:tc>
        <w:tc>
          <w:tcPr>
            <w:tcW w:w="26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492</w:t>
            </w: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573</w:t>
            </w:r>
          </w:p>
        </w:tc>
        <w:tc>
          <w:tcPr>
            <w:tcW w:w="100" w:type="dxa"/>
            <w:vAlign w:val="bottom"/>
            <w:shd w:val="clear" w:color="auto" w:fill="CFF0FC"/>
          </w:tcPr>
          <w:p>
            <w:pPr>
              <w:spacing w:after="0"/>
              <w:rPr>
                <w:sz w:val="14"/>
                <w:szCs w:val="14"/>
                <w:color w:val="auto"/>
              </w:rPr>
            </w:pPr>
          </w:p>
        </w:tc>
      </w:tr>
      <w:tr>
        <w:trPr>
          <w:trHeight w:val="162"/>
        </w:trPr>
        <w:tc>
          <w:tcPr>
            <w:tcW w:w="4920" w:type="dxa"/>
            <w:vAlign w:val="bottom"/>
          </w:tcPr>
          <w:p>
            <w:pPr>
              <w:ind w:left="80"/>
              <w:spacing w:after="0"/>
              <w:rPr>
                <w:sz w:val="20"/>
                <w:szCs w:val="20"/>
                <w:color w:val="auto"/>
              </w:rPr>
            </w:pPr>
            <w:r>
              <w:rPr>
                <w:rFonts w:ascii="Arial" w:cs="Arial" w:eastAsia="Arial" w:hAnsi="Arial"/>
                <w:sz w:val="14"/>
                <w:szCs w:val="14"/>
                <w:color w:val="auto"/>
              </w:rPr>
              <w:t>Other</w:t>
            </w:r>
          </w:p>
        </w:tc>
        <w:tc>
          <w:tcPr>
            <w:tcW w:w="26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636</w:t>
            </w: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870</w:t>
            </w:r>
          </w:p>
        </w:tc>
        <w:tc>
          <w:tcPr>
            <w:tcW w:w="100" w:type="dxa"/>
            <w:vAlign w:val="bottom"/>
          </w:tcPr>
          <w:p>
            <w:pPr>
              <w:spacing w:after="0"/>
              <w:rPr>
                <w:sz w:val="14"/>
                <w:szCs w:val="14"/>
                <w:color w:val="auto"/>
              </w:rPr>
            </w:pPr>
          </w:p>
        </w:tc>
      </w:tr>
      <w:tr>
        <w:trPr>
          <w:trHeight w:val="196"/>
        </w:trPr>
        <w:tc>
          <w:tcPr>
            <w:tcW w:w="4920" w:type="dxa"/>
            <w:vAlign w:val="bottom"/>
            <w:tcBorders>
              <w:bottom w:val="single" w:sz="8" w:color="CFF0FC"/>
            </w:tcBorders>
            <w:shd w:val="clear" w:color="auto" w:fill="CFF0FC"/>
          </w:tcPr>
          <w:p>
            <w:pPr>
              <w:ind w:left="160"/>
              <w:spacing w:after="0" w:line="155" w:lineRule="exact"/>
              <w:rPr>
                <w:sz w:val="20"/>
                <w:szCs w:val="20"/>
                <w:color w:val="auto"/>
              </w:rPr>
            </w:pPr>
            <w:r>
              <w:rPr>
                <w:rFonts w:ascii="Arial" w:cs="Arial" w:eastAsia="Arial" w:hAnsi="Arial"/>
                <w:sz w:val="14"/>
                <w:szCs w:val="14"/>
                <w:color w:val="auto"/>
              </w:rPr>
              <w:t>Total other non-current assets</w:t>
            </w:r>
          </w:p>
        </w:tc>
        <w:tc>
          <w:tcPr>
            <w:tcW w:w="26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4,665</w:t>
            </w:r>
          </w:p>
        </w:tc>
        <w:tc>
          <w:tcPr>
            <w:tcW w:w="3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4,904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48"/>
        </w:trPr>
        <w:tc>
          <w:tcPr>
            <w:tcW w:w="4920" w:type="dxa"/>
            <w:vAlign w:val="bottom"/>
          </w:tcPr>
          <w:p>
            <w:pPr>
              <w:spacing w:after="0"/>
              <w:rPr>
                <w:sz w:val="4"/>
                <w:szCs w:val="4"/>
                <w:color w:val="auto"/>
              </w:rPr>
            </w:pPr>
          </w:p>
        </w:tc>
        <w:tc>
          <w:tcPr>
            <w:tcW w:w="2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62"/>
        </w:trPr>
        <w:tc>
          <w:tcPr>
            <w:tcW w:w="4920" w:type="dxa"/>
            <w:vAlign w:val="bottom"/>
            <w:shd w:val="clear" w:color="auto" w:fill="CFF0FC"/>
          </w:tcPr>
          <w:p>
            <w:pPr>
              <w:spacing w:after="0"/>
              <w:rPr>
                <w:sz w:val="20"/>
                <w:szCs w:val="20"/>
                <w:color w:val="auto"/>
              </w:rPr>
            </w:pPr>
            <w:r>
              <w:rPr>
                <w:rFonts w:ascii="Arial" w:cs="Arial" w:eastAsia="Arial" w:hAnsi="Arial"/>
                <w:sz w:val="14"/>
                <w:szCs w:val="14"/>
                <w:color w:val="auto"/>
              </w:rPr>
              <w:t>Other current liabilities:</w:t>
            </w:r>
          </w:p>
        </w:tc>
        <w:tc>
          <w:tcPr>
            <w:tcW w:w="26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4920" w:type="dxa"/>
            <w:vAlign w:val="bottom"/>
          </w:tcPr>
          <w:p>
            <w:pPr>
              <w:ind w:left="80"/>
              <w:spacing w:after="0"/>
              <w:rPr>
                <w:sz w:val="20"/>
                <w:szCs w:val="20"/>
                <w:color w:val="auto"/>
              </w:rPr>
            </w:pPr>
            <w:r>
              <w:rPr>
                <w:rFonts w:ascii="Arial" w:cs="Arial" w:eastAsia="Arial" w:hAnsi="Arial"/>
                <w:sz w:val="14"/>
                <w:szCs w:val="14"/>
                <w:color w:val="auto"/>
              </w:rPr>
              <w:t>Payroll and fringe benefits</w:t>
            </w:r>
          </w:p>
        </w:tc>
        <w:tc>
          <w:tcPr>
            <w:tcW w:w="284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7,084</w:t>
            </w:r>
          </w:p>
        </w:tc>
        <w:tc>
          <w:tcPr>
            <w:tcW w:w="30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6,815</w:t>
            </w:r>
          </w:p>
        </w:tc>
        <w:tc>
          <w:tcPr>
            <w:tcW w:w="100" w:type="dxa"/>
            <w:vAlign w:val="bottom"/>
          </w:tcPr>
          <w:p>
            <w:pPr>
              <w:spacing w:after="0"/>
              <w:rPr>
                <w:sz w:val="14"/>
                <w:szCs w:val="14"/>
                <w:color w:val="auto"/>
              </w:rPr>
            </w:pPr>
          </w:p>
        </w:tc>
      </w:tr>
      <w:tr>
        <w:trPr>
          <w:trHeight w:val="162"/>
        </w:trPr>
        <w:tc>
          <w:tcPr>
            <w:tcW w:w="4920" w:type="dxa"/>
            <w:vAlign w:val="bottom"/>
            <w:shd w:val="clear" w:color="auto" w:fill="CFF0FC"/>
          </w:tcPr>
          <w:p>
            <w:pPr>
              <w:ind w:left="80"/>
              <w:spacing w:after="0"/>
              <w:rPr>
                <w:sz w:val="20"/>
                <w:szCs w:val="20"/>
                <w:color w:val="auto"/>
              </w:rPr>
            </w:pPr>
            <w:r>
              <w:rPr>
                <w:rFonts w:ascii="Arial" w:cs="Arial" w:eastAsia="Arial" w:hAnsi="Arial"/>
                <w:sz w:val="14"/>
                <w:szCs w:val="14"/>
                <w:color w:val="auto"/>
              </w:rPr>
              <w:t>Incentive compensation</w:t>
            </w:r>
          </w:p>
        </w:tc>
        <w:tc>
          <w:tcPr>
            <w:tcW w:w="26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3,637</w:t>
            </w: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5,652</w:t>
            </w:r>
          </w:p>
        </w:tc>
        <w:tc>
          <w:tcPr>
            <w:tcW w:w="100" w:type="dxa"/>
            <w:vAlign w:val="bottom"/>
            <w:shd w:val="clear" w:color="auto" w:fill="CFF0FC"/>
          </w:tcPr>
          <w:p>
            <w:pPr>
              <w:spacing w:after="0"/>
              <w:rPr>
                <w:sz w:val="14"/>
                <w:szCs w:val="14"/>
                <w:color w:val="auto"/>
              </w:rPr>
            </w:pPr>
          </w:p>
        </w:tc>
      </w:tr>
      <w:tr>
        <w:trPr>
          <w:trHeight w:val="162"/>
        </w:trPr>
        <w:tc>
          <w:tcPr>
            <w:tcW w:w="4920" w:type="dxa"/>
            <w:vAlign w:val="bottom"/>
          </w:tcPr>
          <w:p>
            <w:pPr>
              <w:ind w:left="80"/>
              <w:spacing w:after="0"/>
              <w:rPr>
                <w:sz w:val="20"/>
                <w:szCs w:val="20"/>
                <w:color w:val="auto"/>
              </w:rPr>
            </w:pPr>
            <w:r>
              <w:rPr>
                <w:rFonts w:ascii="Arial" w:cs="Arial" w:eastAsia="Arial" w:hAnsi="Arial"/>
                <w:sz w:val="14"/>
                <w:szCs w:val="14"/>
                <w:color w:val="auto"/>
              </w:rPr>
              <w:t>Utilities</w:t>
            </w:r>
          </w:p>
        </w:tc>
        <w:tc>
          <w:tcPr>
            <w:tcW w:w="2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1,808</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2,236</w:t>
            </w:r>
          </w:p>
        </w:tc>
        <w:tc>
          <w:tcPr>
            <w:tcW w:w="100" w:type="dxa"/>
            <w:vAlign w:val="bottom"/>
          </w:tcPr>
          <w:p>
            <w:pPr>
              <w:spacing w:after="0"/>
              <w:rPr>
                <w:sz w:val="14"/>
                <w:szCs w:val="14"/>
                <w:color w:val="auto"/>
              </w:rPr>
            </w:pPr>
          </w:p>
        </w:tc>
      </w:tr>
      <w:tr>
        <w:trPr>
          <w:trHeight w:val="162"/>
        </w:trPr>
        <w:tc>
          <w:tcPr>
            <w:tcW w:w="4920" w:type="dxa"/>
            <w:vAlign w:val="bottom"/>
            <w:shd w:val="clear" w:color="auto" w:fill="CFF0FC"/>
          </w:tcPr>
          <w:p>
            <w:pPr>
              <w:ind w:left="80"/>
              <w:spacing w:after="0"/>
              <w:rPr>
                <w:sz w:val="20"/>
                <w:szCs w:val="20"/>
                <w:color w:val="auto"/>
              </w:rPr>
            </w:pPr>
            <w:r>
              <w:rPr>
                <w:rFonts w:ascii="Arial" w:cs="Arial" w:eastAsia="Arial" w:hAnsi="Arial"/>
                <w:sz w:val="14"/>
                <w:szCs w:val="14"/>
                <w:color w:val="auto"/>
              </w:rPr>
              <w:t>Deferred revenue</w:t>
            </w:r>
          </w:p>
        </w:tc>
        <w:tc>
          <w:tcPr>
            <w:tcW w:w="26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1,735</w:t>
            </w: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1,236</w:t>
            </w:r>
          </w:p>
        </w:tc>
        <w:tc>
          <w:tcPr>
            <w:tcW w:w="100" w:type="dxa"/>
            <w:vAlign w:val="bottom"/>
            <w:shd w:val="clear" w:color="auto" w:fill="CFF0FC"/>
          </w:tcPr>
          <w:p>
            <w:pPr>
              <w:spacing w:after="0"/>
              <w:rPr>
                <w:sz w:val="14"/>
                <w:szCs w:val="14"/>
                <w:color w:val="auto"/>
              </w:rPr>
            </w:pPr>
          </w:p>
        </w:tc>
      </w:tr>
      <w:tr>
        <w:trPr>
          <w:trHeight w:val="162"/>
        </w:trPr>
        <w:tc>
          <w:tcPr>
            <w:tcW w:w="4920" w:type="dxa"/>
            <w:vAlign w:val="bottom"/>
          </w:tcPr>
          <w:p>
            <w:pPr>
              <w:ind w:left="80"/>
              <w:spacing w:after="0"/>
              <w:rPr>
                <w:sz w:val="20"/>
                <w:szCs w:val="20"/>
                <w:color w:val="auto"/>
              </w:rPr>
            </w:pPr>
            <w:r>
              <w:rPr>
                <w:rFonts w:ascii="Arial" w:cs="Arial" w:eastAsia="Arial" w:hAnsi="Arial"/>
                <w:sz w:val="14"/>
                <w:szCs w:val="14"/>
                <w:color w:val="auto"/>
              </w:rPr>
              <w:t>Property taxes, interest and other</w:t>
            </w:r>
          </w:p>
        </w:tc>
        <w:tc>
          <w:tcPr>
            <w:tcW w:w="26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2,044</w:t>
            </w: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2,960</w:t>
            </w:r>
          </w:p>
        </w:tc>
        <w:tc>
          <w:tcPr>
            <w:tcW w:w="100" w:type="dxa"/>
            <w:vAlign w:val="bottom"/>
          </w:tcPr>
          <w:p>
            <w:pPr>
              <w:spacing w:after="0"/>
              <w:rPr>
                <w:sz w:val="14"/>
                <w:szCs w:val="14"/>
                <w:color w:val="auto"/>
              </w:rPr>
            </w:pPr>
          </w:p>
        </w:tc>
      </w:tr>
      <w:tr>
        <w:trPr>
          <w:trHeight w:val="196"/>
        </w:trPr>
        <w:tc>
          <w:tcPr>
            <w:tcW w:w="4920" w:type="dxa"/>
            <w:vAlign w:val="bottom"/>
            <w:tcBorders>
              <w:bottom w:val="single" w:sz="8" w:color="CFF0FC"/>
            </w:tcBorders>
            <w:shd w:val="clear" w:color="auto" w:fill="CFF0FC"/>
          </w:tcPr>
          <w:p>
            <w:pPr>
              <w:ind w:left="160"/>
              <w:spacing w:after="0" w:line="155" w:lineRule="exact"/>
              <w:rPr>
                <w:sz w:val="20"/>
                <w:szCs w:val="20"/>
                <w:color w:val="auto"/>
              </w:rPr>
            </w:pPr>
            <w:r>
              <w:rPr>
                <w:rFonts w:ascii="Arial" w:cs="Arial" w:eastAsia="Arial" w:hAnsi="Arial"/>
                <w:sz w:val="14"/>
                <w:szCs w:val="14"/>
                <w:color w:val="auto"/>
              </w:rPr>
              <w:t>Total other current liabilities</w:t>
            </w:r>
          </w:p>
        </w:tc>
        <w:tc>
          <w:tcPr>
            <w:tcW w:w="26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16,308</w:t>
            </w:r>
          </w:p>
        </w:tc>
        <w:tc>
          <w:tcPr>
            <w:tcW w:w="3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18,899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48"/>
        </w:trPr>
        <w:tc>
          <w:tcPr>
            <w:tcW w:w="4920" w:type="dxa"/>
            <w:vAlign w:val="bottom"/>
          </w:tcPr>
          <w:p>
            <w:pPr>
              <w:spacing w:after="0"/>
              <w:rPr>
                <w:sz w:val="4"/>
                <w:szCs w:val="4"/>
                <w:color w:val="auto"/>
              </w:rPr>
            </w:pPr>
          </w:p>
        </w:tc>
        <w:tc>
          <w:tcPr>
            <w:tcW w:w="2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62"/>
        </w:trPr>
        <w:tc>
          <w:tcPr>
            <w:tcW w:w="4920" w:type="dxa"/>
            <w:vAlign w:val="bottom"/>
            <w:shd w:val="clear" w:color="auto" w:fill="CFF0FC"/>
          </w:tcPr>
          <w:p>
            <w:pPr>
              <w:spacing w:after="0"/>
              <w:rPr>
                <w:sz w:val="20"/>
                <w:szCs w:val="20"/>
                <w:color w:val="auto"/>
              </w:rPr>
            </w:pPr>
            <w:r>
              <w:rPr>
                <w:rFonts w:ascii="Arial" w:cs="Arial" w:eastAsia="Arial" w:hAnsi="Arial"/>
                <w:sz w:val="14"/>
                <w:szCs w:val="14"/>
                <w:color w:val="auto"/>
              </w:rPr>
              <w:t>Other long-term liabilities:</w:t>
            </w:r>
          </w:p>
        </w:tc>
        <w:tc>
          <w:tcPr>
            <w:tcW w:w="26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4920" w:type="dxa"/>
            <w:vAlign w:val="bottom"/>
          </w:tcPr>
          <w:p>
            <w:pPr>
              <w:ind w:left="80"/>
              <w:spacing w:after="0"/>
              <w:rPr>
                <w:sz w:val="20"/>
                <w:szCs w:val="20"/>
                <w:color w:val="auto"/>
              </w:rPr>
            </w:pPr>
            <w:r>
              <w:rPr>
                <w:rFonts w:ascii="Arial" w:cs="Arial" w:eastAsia="Arial" w:hAnsi="Arial"/>
                <w:sz w:val="14"/>
                <w:szCs w:val="14"/>
                <w:color w:val="auto"/>
              </w:rPr>
              <w:t>Nonqualified deferred compensation plan obligation</w:t>
            </w:r>
          </w:p>
        </w:tc>
        <w:tc>
          <w:tcPr>
            <w:tcW w:w="284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2,568</w:t>
            </w:r>
          </w:p>
        </w:tc>
        <w:tc>
          <w:tcPr>
            <w:tcW w:w="30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2,402</w:t>
            </w:r>
          </w:p>
        </w:tc>
        <w:tc>
          <w:tcPr>
            <w:tcW w:w="100" w:type="dxa"/>
            <w:vAlign w:val="bottom"/>
          </w:tcPr>
          <w:p>
            <w:pPr>
              <w:spacing w:after="0"/>
              <w:rPr>
                <w:sz w:val="14"/>
                <w:szCs w:val="14"/>
                <w:color w:val="auto"/>
              </w:rPr>
            </w:pPr>
          </w:p>
        </w:tc>
      </w:tr>
      <w:tr>
        <w:trPr>
          <w:trHeight w:val="162"/>
        </w:trPr>
        <w:tc>
          <w:tcPr>
            <w:tcW w:w="4920" w:type="dxa"/>
            <w:vAlign w:val="bottom"/>
            <w:shd w:val="clear" w:color="auto" w:fill="CFF0FC"/>
          </w:tcPr>
          <w:p>
            <w:pPr>
              <w:ind w:left="80"/>
              <w:spacing w:after="0"/>
              <w:rPr>
                <w:sz w:val="20"/>
                <w:szCs w:val="20"/>
                <w:color w:val="auto"/>
              </w:rPr>
            </w:pPr>
            <w:r>
              <w:rPr>
                <w:rFonts w:ascii="Arial" w:cs="Arial" w:eastAsia="Arial" w:hAnsi="Arial"/>
                <w:sz w:val="14"/>
                <w:szCs w:val="14"/>
                <w:color w:val="auto"/>
              </w:rPr>
              <w:t>Uncertain tax positions</w:t>
            </w:r>
          </w:p>
        </w:tc>
        <w:tc>
          <w:tcPr>
            <w:tcW w:w="26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1,327</w:t>
            </w: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1,227</w:t>
            </w:r>
          </w:p>
        </w:tc>
        <w:tc>
          <w:tcPr>
            <w:tcW w:w="100" w:type="dxa"/>
            <w:vAlign w:val="bottom"/>
            <w:shd w:val="clear" w:color="auto" w:fill="CFF0FC"/>
          </w:tcPr>
          <w:p>
            <w:pPr>
              <w:spacing w:after="0"/>
              <w:rPr>
                <w:sz w:val="14"/>
                <w:szCs w:val="14"/>
                <w:color w:val="auto"/>
              </w:rPr>
            </w:pPr>
          </w:p>
        </w:tc>
      </w:tr>
      <w:tr>
        <w:trPr>
          <w:trHeight w:val="162"/>
        </w:trPr>
        <w:tc>
          <w:tcPr>
            <w:tcW w:w="4920" w:type="dxa"/>
            <w:vAlign w:val="bottom"/>
          </w:tcPr>
          <w:p>
            <w:pPr>
              <w:ind w:left="80"/>
              <w:spacing w:after="0"/>
              <w:rPr>
                <w:sz w:val="20"/>
                <w:szCs w:val="20"/>
                <w:color w:val="auto"/>
              </w:rPr>
            </w:pPr>
            <w:r>
              <w:rPr>
                <w:rFonts w:ascii="Arial" w:cs="Arial" w:eastAsia="Arial" w:hAnsi="Arial"/>
                <w:sz w:val="14"/>
                <w:szCs w:val="14"/>
                <w:color w:val="auto"/>
              </w:rPr>
              <w:t>Other</w:t>
            </w:r>
          </w:p>
        </w:tc>
        <w:tc>
          <w:tcPr>
            <w:tcW w:w="26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w:t>
            </w: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260</w:t>
            </w:r>
          </w:p>
        </w:tc>
        <w:tc>
          <w:tcPr>
            <w:tcW w:w="100" w:type="dxa"/>
            <w:vAlign w:val="bottom"/>
          </w:tcPr>
          <w:p>
            <w:pPr>
              <w:spacing w:after="0"/>
              <w:rPr>
                <w:sz w:val="14"/>
                <w:szCs w:val="14"/>
                <w:color w:val="auto"/>
              </w:rPr>
            </w:pPr>
          </w:p>
        </w:tc>
      </w:tr>
      <w:tr>
        <w:trPr>
          <w:trHeight w:val="195"/>
        </w:trPr>
        <w:tc>
          <w:tcPr>
            <w:tcW w:w="4920" w:type="dxa"/>
            <w:vAlign w:val="bottom"/>
            <w:tcBorders>
              <w:bottom w:val="single" w:sz="8" w:color="CFF0FC"/>
            </w:tcBorders>
            <w:shd w:val="clear" w:color="auto" w:fill="CFF0FC"/>
          </w:tcPr>
          <w:p>
            <w:pPr>
              <w:ind w:left="160"/>
              <w:spacing w:after="0" w:line="155" w:lineRule="exact"/>
              <w:rPr>
                <w:sz w:val="20"/>
                <w:szCs w:val="20"/>
                <w:color w:val="auto"/>
              </w:rPr>
            </w:pPr>
            <w:r>
              <w:rPr>
                <w:rFonts w:ascii="Arial" w:cs="Arial" w:eastAsia="Arial" w:hAnsi="Arial"/>
                <w:sz w:val="14"/>
                <w:szCs w:val="14"/>
                <w:color w:val="auto"/>
              </w:rPr>
              <w:t>Total other long-term liabilities</w:t>
            </w:r>
          </w:p>
        </w:tc>
        <w:tc>
          <w:tcPr>
            <w:tcW w:w="26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4,122</w:t>
            </w:r>
          </w:p>
        </w:tc>
        <w:tc>
          <w:tcPr>
            <w:tcW w:w="3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3,889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715"/>
        </w:trPr>
        <w:tc>
          <w:tcPr>
            <w:tcW w:w="4920" w:type="dxa"/>
            <w:vAlign w:val="bottom"/>
          </w:tcPr>
          <w:p>
            <w:pPr>
              <w:spacing w:after="0"/>
              <w:rPr>
                <w:sz w:val="24"/>
                <w:szCs w:val="24"/>
                <w:color w:val="auto"/>
              </w:rPr>
            </w:pPr>
          </w:p>
        </w:tc>
        <w:tc>
          <w:tcPr>
            <w:tcW w:w="2640" w:type="dxa"/>
            <w:vAlign w:val="bottom"/>
          </w:tcPr>
          <w:p>
            <w:pPr>
              <w:jc w:val="right"/>
              <w:ind w:right="1788"/>
              <w:spacing w:after="0"/>
              <w:rPr>
                <w:sz w:val="20"/>
                <w:szCs w:val="20"/>
                <w:color w:val="auto"/>
              </w:rPr>
            </w:pPr>
            <w:r>
              <w:rPr>
                <w:rFonts w:ascii="Arial" w:cs="Arial" w:eastAsia="Arial" w:hAnsi="Arial"/>
                <w:sz w:val="14"/>
                <w:szCs w:val="14"/>
                <w:color w:val="auto"/>
              </w:rPr>
              <w:t>13</w:t>
            </w: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4"/>
        </w:trPr>
        <w:tc>
          <w:tcPr>
            <w:tcW w:w="492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-6196965</wp:posOffset>
            </wp:positionV>
            <wp:extent cx="7747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-6196965</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-5177155</wp:posOffset>
            </wp:positionV>
            <wp:extent cx="7747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-5160010</wp:posOffset>
            </wp:positionV>
            <wp:extent cx="7747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-5177155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-5160010</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-4594225</wp:posOffset>
            </wp:positionV>
            <wp:extent cx="7747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-4594225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-3171190</wp:posOffset>
            </wp:positionV>
            <wp:extent cx="7747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-3171190</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-2365375</wp:posOffset>
            </wp:positionV>
            <wp:extent cx="7747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-2348230</wp:posOffset>
            </wp:positionV>
            <wp:extent cx="7747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-2365375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-2348230</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-1567815</wp:posOffset>
            </wp:positionV>
            <wp:extent cx="7747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-1551305</wp:posOffset>
            </wp:positionV>
            <wp:extent cx="7747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-1567815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-1551305</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-976630</wp:posOffset>
            </wp:positionV>
            <wp:extent cx="7747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-959485</wp:posOffset>
            </wp:positionV>
            <wp:extent cx="7747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-976630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-959485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b w:val="1"/>
          <w:bCs w:val="1"/>
          <w:color w:val="auto"/>
        </w:rPr>
        <w:t>Item 2. Management’s Discussion and Analysis of Financial Condition and Results of Operations</w:t>
      </w:r>
    </w:p>
    <w:p>
      <w:pPr>
        <w:spacing w:after="0" w:line="109"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The following is management’s discussion and analysis of certain significant factors that have affected UNIFI’s operations, along with material changes in financial condition, during the periods included in the accompanying condensed consolidated financial statements. A reference to a “note” in this section refers to the accompanying notes to condensed consolidated financial statements. A reference to the “current period” refers to the three-month period ended March 29, 2026, while a reference to the “prior period” refers to the three-month period ended March 30, 2025. A reference to the “current nine-month period” refers to the nine-month period ended March 29, 2026, while a reference to the “prior nine-month period” refers to the nine-month period ended March 30, 2025. Such references may be accompanied by certain phrases for added clarity. The current period and the prior period each consisted of 13 weeks. The current nine-month period and the prior nine-month period each consisted of 39 weeks.</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Our discussions in this Item 2 focus on our results during, or as of, the three months ended March 29, 2026 and March 30, 2025, and, to the extent applicable, any material changes from the information discussed in the 2025 Form 10-K or other important intervening developments or information. These discussions should be read in conjunction with the 2025 Form 10-K for more detailed and background information about our business, operations, and financial condition.</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color w:val="auto"/>
        </w:rPr>
        <w:t>Discussion of foreign currency translation is primarily associated with changes in the Brazilian Real (“BRL”) and changes in the Chinese Renminbi (“RMB”) versus the U.S.</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Dollar (“USD”). Weighted average exchange rates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3180" w:type="dxa"/>
            <w:vAlign w:val="bottom"/>
            <w:tcBorders>
              <w:bottom w:val="single" w:sz="8" w:color="auto"/>
            </w:tcBorders>
            <w:gridSpan w:val="4"/>
          </w:tcPr>
          <w:p>
            <w:pPr>
              <w:ind w:left="760"/>
              <w:spacing w:after="0"/>
              <w:rPr>
                <w:sz w:val="20"/>
                <w:szCs w:val="20"/>
                <w:color w:val="auto"/>
              </w:rPr>
            </w:pPr>
            <w:r>
              <w:rPr>
                <w:rFonts w:ascii="Arial" w:cs="Arial" w:eastAsia="Arial" w:hAnsi="Arial"/>
                <w:sz w:val="14"/>
                <w:szCs w:val="14"/>
                <w:b w:val="1"/>
                <w:bCs w:val="1"/>
                <w:color w:val="auto"/>
              </w:rPr>
              <w:t>For the Three Months Ended</w:t>
            </w:r>
          </w:p>
        </w:tc>
        <w:tc>
          <w:tcPr>
            <w:tcW w:w="3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120" w:type="dxa"/>
            <w:vAlign w:val="bottom"/>
            <w:tcBorders>
              <w:bottom w:val="single" w:sz="8" w:color="auto"/>
            </w:tcBorders>
            <w:gridSpan w:val="4"/>
          </w:tcPr>
          <w:p>
            <w:pPr>
              <w:ind w:left="760"/>
              <w:spacing w:after="0"/>
              <w:rPr>
                <w:sz w:val="20"/>
                <w:szCs w:val="20"/>
                <w:color w:val="auto"/>
              </w:rPr>
            </w:pPr>
            <w:r>
              <w:rPr>
                <w:rFonts w:ascii="Arial" w:cs="Arial" w:eastAsia="Arial" w:hAnsi="Arial"/>
                <w:sz w:val="14"/>
                <w:szCs w:val="14"/>
                <w:b w:val="1"/>
                <w:bCs w:val="1"/>
                <w:color w:val="auto"/>
              </w:rPr>
              <w:t>For the Nine Months Ended</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4000" w:type="dxa"/>
            <w:vAlign w:val="bottom"/>
          </w:tcPr>
          <w:p>
            <w:pPr>
              <w:spacing w:after="0"/>
              <w:rPr>
                <w:sz w:val="13"/>
                <w:szCs w:val="13"/>
                <w:color w:val="auto"/>
              </w:rPr>
            </w:pPr>
          </w:p>
        </w:tc>
        <w:tc>
          <w:tcPr>
            <w:tcW w:w="1320" w:type="dxa"/>
            <w:vAlign w:val="bottom"/>
            <w:tcBorders>
              <w:bottom w:val="single" w:sz="8" w:color="auto"/>
            </w:tcBorders>
          </w:tcPr>
          <w:p>
            <w:pPr>
              <w:ind w:left="280"/>
              <w:spacing w:after="0" w:line="155" w:lineRule="exact"/>
              <w:rPr>
                <w:sz w:val="20"/>
                <w:szCs w:val="20"/>
                <w:color w:val="auto"/>
              </w:rPr>
            </w:pPr>
            <w:r>
              <w:rPr>
                <w:rFonts w:ascii="Arial" w:cs="Arial" w:eastAsia="Arial" w:hAnsi="Arial"/>
                <w:sz w:val="14"/>
                <w:szCs w:val="14"/>
                <w:b w:val="1"/>
                <w:bCs w:val="1"/>
                <w:color w:val="auto"/>
              </w:rPr>
              <w:t>March 29, 2026</w:t>
            </w:r>
          </w:p>
        </w:tc>
        <w:tc>
          <w:tcPr>
            <w:tcW w:w="3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Borders>
              <w:bottom w:val="single" w:sz="8" w:color="auto"/>
            </w:tcBorders>
          </w:tcPr>
          <w:p>
            <w:pPr>
              <w:ind w:left="300"/>
              <w:spacing w:after="0" w:line="155" w:lineRule="exact"/>
              <w:rPr>
                <w:sz w:val="20"/>
                <w:szCs w:val="20"/>
                <w:color w:val="auto"/>
              </w:rPr>
            </w:pPr>
            <w:r>
              <w:rPr>
                <w:rFonts w:ascii="Arial" w:cs="Arial" w:eastAsia="Arial" w:hAnsi="Arial"/>
                <w:sz w:val="14"/>
                <w:szCs w:val="14"/>
                <w:b w:val="1"/>
                <w:bCs w:val="1"/>
                <w:color w:val="auto"/>
              </w:rPr>
              <w:t>March 30, 2025</w:t>
            </w:r>
          </w:p>
        </w:tc>
        <w:tc>
          <w:tcPr>
            <w:tcW w:w="3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Borders>
              <w:bottom w:val="single" w:sz="8" w:color="auto"/>
            </w:tcBorders>
          </w:tcPr>
          <w:p>
            <w:pPr>
              <w:ind w:left="280"/>
              <w:spacing w:after="0" w:line="155" w:lineRule="exact"/>
              <w:rPr>
                <w:sz w:val="20"/>
                <w:szCs w:val="20"/>
                <w:color w:val="auto"/>
              </w:rPr>
            </w:pPr>
            <w:r>
              <w:rPr>
                <w:rFonts w:ascii="Arial" w:cs="Arial" w:eastAsia="Arial" w:hAnsi="Arial"/>
                <w:sz w:val="14"/>
                <w:szCs w:val="14"/>
                <w:b w:val="1"/>
                <w:bCs w:val="1"/>
                <w:color w:val="auto"/>
              </w:rPr>
              <w:t>March 29, 2026</w:t>
            </w:r>
          </w:p>
        </w:tc>
        <w:tc>
          <w:tcPr>
            <w:tcW w:w="2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Borders>
              <w:bottom w:val="single" w:sz="8" w:color="auto"/>
            </w:tcBorders>
          </w:tcPr>
          <w:p>
            <w:pPr>
              <w:ind w:left="280"/>
              <w:spacing w:after="0" w:line="155" w:lineRule="exact"/>
              <w:rPr>
                <w:sz w:val="20"/>
                <w:szCs w:val="20"/>
                <w:color w:val="auto"/>
              </w:rPr>
            </w:pPr>
            <w:r>
              <w:rPr>
                <w:rFonts w:ascii="Arial" w:cs="Arial" w:eastAsia="Arial" w:hAnsi="Arial"/>
                <w:sz w:val="14"/>
                <w:szCs w:val="14"/>
                <w:b w:val="1"/>
                <w:bCs w:val="1"/>
                <w:color w:val="auto"/>
              </w:rPr>
              <w:t>March 30, 2025</w:t>
            </w:r>
          </w:p>
        </w:tc>
        <w:tc>
          <w:tcPr>
            <w:tcW w:w="3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5320" w:type="dxa"/>
            <w:vAlign w:val="bottom"/>
            <w:gridSpan w:val="2"/>
            <w:shd w:val="clear" w:color="auto" w:fill="CFF0FC"/>
          </w:tcPr>
          <w:p>
            <w:pPr>
              <w:spacing w:after="0" w:line="155" w:lineRule="exact"/>
              <w:rPr>
                <w:sz w:val="20"/>
                <w:szCs w:val="20"/>
                <w:color w:val="auto"/>
              </w:rPr>
            </w:pPr>
            <w:r>
              <w:rPr>
                <w:rFonts w:ascii="Arial" w:cs="Arial" w:eastAsia="Arial" w:hAnsi="Arial"/>
                <w:sz w:val="14"/>
                <w:szCs w:val="14"/>
                <w:color w:val="auto"/>
              </w:rPr>
              <w:t>BRL to USD</w:t>
            </w:r>
          </w:p>
        </w:tc>
        <w:tc>
          <w:tcPr>
            <w:tcW w:w="3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95"/>
              </w:rPr>
              <w:t>5.25</w:t>
            </w:r>
          </w:p>
        </w:tc>
        <w:tc>
          <w:tcPr>
            <w:tcW w:w="24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3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5.84</w:t>
            </w:r>
          </w:p>
        </w:tc>
        <w:tc>
          <w:tcPr>
            <w:tcW w:w="24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2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95"/>
              </w:rPr>
              <w:t>5.36</w:t>
            </w:r>
          </w:p>
        </w:tc>
        <w:tc>
          <w:tcPr>
            <w:tcW w:w="24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3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95"/>
              </w:rPr>
              <w:t>5.72</w:t>
            </w:r>
          </w:p>
        </w:tc>
        <w:tc>
          <w:tcPr>
            <w:tcW w:w="100" w:type="dxa"/>
            <w:vAlign w:val="bottom"/>
            <w:shd w:val="clear" w:color="auto" w:fill="CFF0FC"/>
          </w:tcPr>
          <w:p>
            <w:pPr>
              <w:spacing w:after="0"/>
              <w:rPr>
                <w:sz w:val="13"/>
                <w:szCs w:val="13"/>
                <w:color w:val="auto"/>
              </w:rPr>
            </w:pPr>
          </w:p>
        </w:tc>
      </w:tr>
      <w:tr>
        <w:trPr>
          <w:trHeight w:val="190"/>
        </w:trPr>
        <w:tc>
          <w:tcPr>
            <w:tcW w:w="5320" w:type="dxa"/>
            <w:vAlign w:val="bottom"/>
            <w:gridSpan w:val="2"/>
          </w:tcPr>
          <w:p>
            <w:pPr>
              <w:spacing w:after="0"/>
              <w:rPr>
                <w:sz w:val="20"/>
                <w:szCs w:val="20"/>
                <w:color w:val="auto"/>
              </w:rPr>
            </w:pPr>
            <w:r>
              <w:rPr>
                <w:rFonts w:ascii="Arial" w:cs="Arial" w:eastAsia="Arial" w:hAnsi="Arial"/>
                <w:sz w:val="14"/>
                <w:szCs w:val="14"/>
                <w:color w:val="auto"/>
              </w:rPr>
              <w:t>RMB to USD</w:t>
            </w:r>
          </w:p>
        </w:tc>
        <w:tc>
          <w:tcPr>
            <w:tcW w:w="300" w:type="dxa"/>
            <w:vAlign w:val="bottom"/>
          </w:tcPr>
          <w:p>
            <w:pPr>
              <w:jc w:val="right"/>
              <w:spacing w:after="0"/>
              <w:rPr>
                <w:sz w:val="20"/>
                <w:szCs w:val="20"/>
                <w:color w:val="auto"/>
              </w:rPr>
            </w:pPr>
            <w:r>
              <w:rPr>
                <w:rFonts w:ascii="Arial" w:cs="Arial" w:eastAsia="Arial" w:hAnsi="Arial"/>
                <w:sz w:val="14"/>
                <w:szCs w:val="14"/>
                <w:color w:val="auto"/>
                <w:w w:val="95"/>
              </w:rPr>
              <w:t>6.92</w:t>
            </w: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7.27</w:t>
            </w: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w w:val="95"/>
              </w:rPr>
              <w:t>7.05</w:t>
            </w: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w w:val="95"/>
              </w:rPr>
              <w:t>7.21</w:t>
            </w:r>
          </w:p>
        </w:tc>
        <w:tc>
          <w:tcPr>
            <w:tcW w:w="100" w:type="dxa"/>
            <w:vAlign w:val="bottom"/>
          </w:tcPr>
          <w:p>
            <w:pPr>
              <w:spacing w:after="0"/>
              <w:rPr>
                <w:sz w:val="16"/>
                <w:szCs w:val="16"/>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All amounts, except per share amounts, are presented in thousands (000s), except as otherwise noted.</w:t>
      </w: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 and Significant General Matters</w:t>
      </w:r>
    </w:p>
    <w:p>
      <w:pPr>
        <w:spacing w:after="0" w:line="109"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UNIFI focuses on delivering products and solutions to direct customers and brand partners throughout the world, leveraging our internal manufacturing capabilities and an enhanced global supply chain that delivers a diverse range of synthetic and recycled fibers and polymers. Our strategic initiatives include (i) leveraging our competitive advantages to grow market share in each of the major geographies we serve, (ii) expanding our presence in non-apparel markets with additional REPREVE</w:t>
      </w:r>
      <w:r>
        <w:rPr>
          <w:rFonts w:ascii="Arial" w:cs="Arial" w:eastAsia="Arial" w:hAnsi="Arial"/>
          <w:sz w:val="19"/>
          <w:szCs w:val="19"/>
          <w:color w:val="auto"/>
          <w:vertAlign w:val="superscript"/>
        </w:rPr>
        <w:t>®</w:t>
      </w:r>
      <w:r>
        <w:rPr>
          <w:rFonts w:ascii="Arial" w:cs="Arial" w:eastAsia="Arial" w:hAnsi="Arial"/>
          <w:sz w:val="14"/>
          <w:szCs w:val="14"/>
          <w:color w:val="auto"/>
        </w:rPr>
        <w:t xml:space="preserve"> products, (iii) advancing the development and commercialization of innovative and sustainable solutions, and (iv) increasing brand awareness for REPREVE</w:t>
      </w:r>
      <w:r>
        <w:rPr>
          <w:rFonts w:ascii="Arial" w:cs="Arial" w:eastAsia="Arial" w:hAnsi="Arial"/>
          <w:sz w:val="19"/>
          <w:szCs w:val="19"/>
          <w:color w:val="auto"/>
          <w:vertAlign w:val="superscript"/>
        </w:rPr>
        <w:t>®</w:t>
      </w:r>
      <w:r>
        <w:rPr>
          <w:rFonts w:ascii="Arial" w:cs="Arial" w:eastAsia="Arial" w:hAnsi="Arial"/>
          <w:sz w:val="14"/>
          <w:szCs w:val="14"/>
          <w:color w:val="auto"/>
        </w:rPr>
        <w:t>. We have increased our focus on sales opportunities beyond traditional apparel customers and continue to drive innovation throughout our portfolio to further diversify the business and enhance gross profit. We believe our strategic initiatives will increase revenue and profitability and generate improved cash flows from operations.</w:t>
      </w: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Current Economic Environment</w:t>
      </w:r>
    </w:p>
    <w:p>
      <w:pPr>
        <w:spacing w:after="0" w:line="175" w:lineRule="exact"/>
        <w:rPr>
          <w:sz w:val="20"/>
          <w:szCs w:val="20"/>
          <w:color w:val="auto"/>
        </w:rPr>
      </w:pPr>
    </w:p>
    <w:p>
      <w:pPr>
        <w:jc w:val="both"/>
        <w:spacing w:after="0" w:line="247" w:lineRule="auto"/>
        <w:rPr>
          <w:sz w:val="20"/>
          <w:szCs w:val="20"/>
          <w:color w:val="auto"/>
        </w:rPr>
      </w:pPr>
      <w:r>
        <w:rPr>
          <w:rFonts w:ascii="Arial" w:cs="Arial" w:eastAsia="Arial" w:hAnsi="Arial"/>
          <w:sz w:val="14"/>
          <w:szCs w:val="14"/>
          <w:color w:val="auto"/>
        </w:rPr>
        <w:t>Beyond the specific demand challenges within the textile industry as described in the Form 10-K, our business has been adversely impacted by: (i) the impact of inflation, including tariffs, on consumer spending, (ii) elevated interest rates for consumers and customers, including the impact on the carrying costs of customer inventories, and (iii) the volatility in customer order patterns resulting from trade and regulatory matters (including tariffs). This volatility in demand resulted from customers buying ahead of tariffs becoming effective for certain countries and difficulty in predicting final tariff assessments. A tariff structure that disproportionately impacts one country or region over another may result in a shift in manufacturing or flow of goods particularly as it relates to textile production across Asia and Central America. Such lower tariff countries or regions may be situated outside of UNIFI’s existing global supply chain. If UNIFI is unable to move production based on these shifts in regional demand, we may lose sales and experience an adverse effect on our financial condition, results of operations, or cash flows. UNIFI will continue to monitor these and other aspects of the current environment, leverage our global business model as necessary, and work closely with stakeholders to ensure business continuity and liquidity.</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UNIFI has been expanding its supply chain and business model across multiple geographies over the last several years. Particularly, (i) our feedstock supply spans multiple domestic and foreign markets, (ii) our commercial position in the Central American market remains key to servicing compliant business for USMCA and CAFTA-DR programs, and (iii) we have expanded our asset light model beyond China with the addition of Unifi Textiles India in October 2024. Each of these initiatives affords us diversity in this dynamic trade environment and greater flexibility in servicing our customer base.</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Specific to other ongoing geopolitical tensions, we recognize the disruption to global markets and supply chains caused by the conflicts in Ukraine and the Middle East, particularly in Iran. Escalating geopolitical tensions involving Iran have contributed to volatility in petroleum markets. In early March 2026, disruptions to certain supply routes associated with this conflict resulted in a sharp increase in crude oil and related feedstock prices. As a result of higher raw material costs stemming from disruptions in the Middle East, the Company implemented responsive price increases and surcharges that began in April 2026 and are expected to continue while petrochemical-related inflation remains elevated. We recognize that additional or prolonged impacts to the petroleum or other global markets could cause further inflationary pressures to our global raw material costs or additional unforeseen adverse impacts.</w:t>
      </w: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Input Costs and Global Production Volatility</w:t>
      </w:r>
    </w:p>
    <w:p>
      <w:pPr>
        <w:spacing w:after="0" w:line="107"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Despite a marginally more stable labor pool recently, global demand volatility and uncertainty continues. The threat of an economic slowdown and global tensions continue to create uncertainty, more specifically the conflict in Iran contributed to rising freight and raw material costs beginning in March 2026. Such existing challenges and future uncertainty, particularly for rising input costs, labor productivity, and global demand, could worsen and/or continue for prolonged periods, materially impacting our consolidated sales, gross profit, and operating cash flows. Also, the need for future selling price adjustments in connection with inflationary costs could impact our ability to retain current customer programs and compete successfully for new programs in certain regions.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i w:val="1"/>
          <w:iCs w:val="1"/>
          <w:color w:val="auto"/>
        </w:rPr>
        <w:t>Fiscal 2026 Profit Improvement Plan</w:t>
      </w:r>
    </w:p>
    <w:p>
      <w:pPr>
        <w:spacing w:after="0" w:line="107"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During October 2025, UNIFI implemented additional cost-saving initiatives that included reducing variable manufacturing costs across labor, spend, and support functions, while also eliminating salaried positions in the U.S. ("Fiscal 2026 Profit Improvement Plan"). Accordingly, in the second quarter of fiscal 2026, UNIFI recorded employee separation costs of $1,093 in connection with the Fiscal 2026 Profit Improvement Plan and a $308 gain from disposals of assets from the consolidation of Americas yarn manufacturing operations.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Performance Indicators and Non-GAAP Financial Measures</w:t>
      </w:r>
    </w:p>
    <w:p>
      <w:pPr>
        <w:spacing w:after="0" w:line="10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UNIFI continuously reviews performance indicators to measure its success. These performance indicators form the basis of management’s discussion and analysis included below:</w:t>
      </w:r>
    </w:p>
    <w:p>
      <w:pPr>
        <w:spacing w:after="0" w:line="256" w:lineRule="exact"/>
        <w:rPr>
          <w:sz w:val="20"/>
          <w:szCs w:val="20"/>
          <w:color w:val="auto"/>
        </w:rPr>
      </w:pPr>
    </w:p>
    <w:p>
      <w:pPr>
        <w:ind w:left="760" w:hanging="378"/>
        <w:spacing w:after="0"/>
        <w:tabs>
          <w:tab w:leader="none" w:pos="760" w:val="left"/>
        </w:tabs>
        <w:numPr>
          <w:ilvl w:val="0"/>
          <w:numId w:val="7"/>
        </w:numPr>
        <w:rPr>
          <w:rFonts w:ascii="Times New Roman" w:cs="Times New Roman" w:eastAsia="Times New Roman" w:hAnsi="Times New Roman"/>
          <w:sz w:val="14"/>
          <w:szCs w:val="14"/>
          <w:color w:val="auto"/>
        </w:rPr>
      </w:pPr>
      <w:r>
        <w:rPr>
          <w:rFonts w:ascii="Arial" w:cs="Arial" w:eastAsia="Arial" w:hAnsi="Arial"/>
          <w:sz w:val="14"/>
          <w:szCs w:val="14"/>
          <w:color w:val="auto"/>
        </w:rPr>
        <w:t>sales volume and revenue for UNIFI and for each reportable segment;</w:t>
      </w:r>
    </w:p>
    <w:p>
      <w:pPr>
        <w:spacing w:after="0" w:line="108"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7"/>
        </w:numPr>
        <w:rPr>
          <w:rFonts w:ascii="Times New Roman" w:cs="Times New Roman" w:eastAsia="Times New Roman" w:hAnsi="Times New Roman"/>
          <w:sz w:val="14"/>
          <w:szCs w:val="14"/>
          <w:color w:val="auto"/>
        </w:rPr>
      </w:pPr>
      <w:r>
        <w:rPr>
          <w:rFonts w:ascii="Arial" w:cs="Arial" w:eastAsia="Arial" w:hAnsi="Arial"/>
          <w:sz w:val="14"/>
          <w:szCs w:val="14"/>
          <w:color w:val="auto"/>
        </w:rPr>
        <w:t>gross (loss) profit and gross margin for UNIFI and for each reportable segment;</w:t>
      </w:r>
    </w:p>
    <w:p>
      <w:pPr>
        <w:spacing w:after="0" w:line="108"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7"/>
        </w:numPr>
        <w:rPr>
          <w:rFonts w:ascii="Times New Roman" w:cs="Times New Roman" w:eastAsia="Times New Roman" w:hAnsi="Times New Roman"/>
          <w:sz w:val="14"/>
          <w:szCs w:val="14"/>
          <w:color w:val="auto"/>
        </w:rPr>
      </w:pPr>
      <w:r>
        <w:rPr>
          <w:rFonts w:ascii="Arial" w:cs="Arial" w:eastAsia="Arial" w:hAnsi="Arial"/>
          <w:sz w:val="14"/>
          <w:szCs w:val="14"/>
          <w:color w:val="auto"/>
        </w:rPr>
        <w:t>net loss and diluted EPS;</w:t>
      </w:r>
    </w:p>
    <w:p>
      <w:pPr>
        <w:spacing w:after="0" w:line="108"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7"/>
        </w:numPr>
        <w:rPr>
          <w:rFonts w:ascii="Times New Roman" w:cs="Times New Roman" w:eastAsia="Times New Roman" w:hAnsi="Times New Roman"/>
          <w:sz w:val="14"/>
          <w:szCs w:val="14"/>
          <w:color w:val="auto"/>
        </w:rPr>
      </w:pPr>
      <w:r>
        <w:rPr>
          <w:rFonts w:ascii="Arial" w:cs="Arial" w:eastAsia="Arial" w:hAnsi="Arial"/>
          <w:sz w:val="14"/>
          <w:szCs w:val="14"/>
          <w:color w:val="auto"/>
        </w:rPr>
        <w:t>Segment (Loss) Profit, which equals segment gross (loss) profit plus segment depreciation expense;</w:t>
      </w:r>
    </w:p>
    <w:p>
      <w:pPr>
        <w:spacing w:after="0" w:line="108"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7"/>
        </w:numPr>
        <w:rPr>
          <w:rFonts w:ascii="Times New Roman" w:cs="Times New Roman" w:eastAsia="Times New Roman" w:hAnsi="Times New Roman"/>
          <w:sz w:val="14"/>
          <w:szCs w:val="14"/>
          <w:color w:val="auto"/>
        </w:rPr>
      </w:pPr>
      <w:r>
        <w:rPr>
          <w:rFonts w:ascii="Arial" w:cs="Arial" w:eastAsia="Arial" w:hAnsi="Arial"/>
          <w:sz w:val="14"/>
          <w:szCs w:val="14"/>
          <w:color w:val="auto"/>
        </w:rPr>
        <w:t>unit conversion margin, which represents unit net sales price less unit raw material costs, for UNIFI and for each reportable segment;</w:t>
      </w:r>
    </w:p>
    <w:p>
      <w:pPr>
        <w:spacing w:after="0" w:line="108"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7"/>
        </w:numPr>
        <w:rPr>
          <w:rFonts w:ascii="Times New Roman" w:cs="Times New Roman" w:eastAsia="Times New Roman" w:hAnsi="Times New Roman"/>
          <w:sz w:val="14"/>
          <w:szCs w:val="14"/>
          <w:color w:val="auto"/>
        </w:rPr>
      </w:pPr>
      <w:r>
        <w:rPr>
          <w:rFonts w:ascii="Arial" w:cs="Arial" w:eastAsia="Arial" w:hAnsi="Arial"/>
          <w:sz w:val="14"/>
          <w:szCs w:val="14"/>
          <w:color w:val="auto"/>
        </w:rPr>
        <w:t>working capital, which represents current assets less current liabilities;</w:t>
      </w:r>
    </w:p>
    <w:p>
      <w:pPr>
        <w:spacing w:after="0" w:line="108" w:lineRule="exact"/>
        <w:rPr>
          <w:rFonts w:ascii="Times New Roman" w:cs="Times New Roman" w:eastAsia="Times New Roman" w:hAnsi="Times New Roman"/>
          <w:sz w:val="14"/>
          <w:szCs w:val="14"/>
          <w:color w:val="auto"/>
        </w:rPr>
      </w:pPr>
    </w:p>
    <w:p>
      <w:pPr>
        <w:ind w:left="760" w:hanging="378"/>
        <w:spacing w:after="0" w:line="284" w:lineRule="auto"/>
        <w:tabs>
          <w:tab w:leader="none" w:pos="760" w:val="left"/>
        </w:tabs>
        <w:numPr>
          <w:ilvl w:val="0"/>
          <w:numId w:val="7"/>
        </w:numPr>
        <w:rPr>
          <w:rFonts w:ascii="Times New Roman" w:cs="Times New Roman" w:eastAsia="Times New Roman" w:hAnsi="Times New Roman"/>
          <w:sz w:val="14"/>
          <w:szCs w:val="14"/>
          <w:color w:val="auto"/>
        </w:rPr>
      </w:pPr>
      <w:r>
        <w:rPr>
          <w:rFonts w:ascii="Arial" w:cs="Arial" w:eastAsia="Arial" w:hAnsi="Arial"/>
          <w:sz w:val="14"/>
          <w:szCs w:val="14"/>
          <w:color w:val="auto"/>
        </w:rPr>
        <w:t>Earnings Before Interest, Taxes, Depreciation and Amortization (“EBITDA”), which represents net loss before net interest expense, income tax expense, and depreciation and amortization expense;</w:t>
      </w:r>
    </w:p>
    <w:p>
      <w:pPr>
        <w:spacing w:after="0" w:line="50" w:lineRule="exact"/>
        <w:rPr>
          <w:rFonts w:ascii="Times New Roman" w:cs="Times New Roman" w:eastAsia="Times New Roman" w:hAnsi="Times New Roman"/>
          <w:sz w:val="14"/>
          <w:szCs w:val="14"/>
          <w:color w:val="auto"/>
        </w:rPr>
      </w:pPr>
    </w:p>
    <w:p>
      <w:pPr>
        <w:ind w:left="760" w:hanging="378"/>
        <w:spacing w:after="0" w:line="284" w:lineRule="auto"/>
        <w:tabs>
          <w:tab w:leader="none" w:pos="760" w:val="left"/>
        </w:tabs>
        <w:numPr>
          <w:ilvl w:val="0"/>
          <w:numId w:val="7"/>
        </w:numPr>
        <w:rPr>
          <w:rFonts w:ascii="Times New Roman" w:cs="Times New Roman" w:eastAsia="Times New Roman" w:hAnsi="Times New Roman"/>
          <w:sz w:val="14"/>
          <w:szCs w:val="14"/>
          <w:color w:val="auto"/>
        </w:rPr>
      </w:pPr>
      <w:r>
        <w:rPr>
          <w:rFonts w:ascii="Arial" w:cs="Arial" w:eastAsia="Arial" w:hAnsi="Arial"/>
          <w:sz w:val="14"/>
          <w:szCs w:val="14"/>
          <w:color w:val="auto"/>
        </w:rPr>
        <w:t>Adjusted EBITDA, which represents EBITDA adjusted to exclude, from time to time, certain other adjustments necessary to understand and compare the underlying results of UNIFI;</w:t>
      </w:r>
    </w:p>
    <w:p>
      <w:pPr>
        <w:spacing w:after="0" w:line="50" w:lineRule="exact"/>
        <w:rPr>
          <w:rFonts w:ascii="Times New Roman" w:cs="Times New Roman" w:eastAsia="Times New Roman" w:hAnsi="Times New Roman"/>
          <w:sz w:val="14"/>
          <w:szCs w:val="14"/>
          <w:color w:val="auto"/>
        </w:rPr>
      </w:pPr>
    </w:p>
    <w:p>
      <w:pPr>
        <w:ind w:left="760" w:hanging="378"/>
        <w:spacing w:after="0" w:line="284" w:lineRule="auto"/>
        <w:tabs>
          <w:tab w:leader="none" w:pos="760" w:val="left"/>
        </w:tabs>
        <w:numPr>
          <w:ilvl w:val="0"/>
          <w:numId w:val="7"/>
        </w:numPr>
        <w:rPr>
          <w:rFonts w:ascii="Times New Roman" w:cs="Times New Roman" w:eastAsia="Times New Roman" w:hAnsi="Times New Roman"/>
          <w:sz w:val="14"/>
          <w:szCs w:val="14"/>
          <w:color w:val="auto"/>
        </w:rPr>
      </w:pPr>
      <w:r>
        <w:rPr>
          <w:rFonts w:ascii="Arial" w:cs="Arial" w:eastAsia="Arial" w:hAnsi="Arial"/>
          <w:sz w:val="14"/>
          <w:szCs w:val="14"/>
          <w:color w:val="auto"/>
        </w:rPr>
        <w:t>Adjusted Net Loss, which represents net loss calculated under GAAP, adjusted to exclude certain amounts which management believes do not reflect the ongoing operations and performance of UNIFI and/or for which exclusion may be necessary to understand and compare the underlying results of UNIFI;</w:t>
      </w:r>
    </w:p>
    <w:p>
      <w:pPr>
        <w:spacing w:after="0" w:line="50"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7"/>
        </w:numPr>
        <w:rPr>
          <w:rFonts w:ascii="Times New Roman" w:cs="Times New Roman" w:eastAsia="Times New Roman" w:hAnsi="Times New Roman"/>
          <w:sz w:val="14"/>
          <w:szCs w:val="14"/>
          <w:color w:val="auto"/>
        </w:rPr>
      </w:pPr>
      <w:r>
        <w:rPr>
          <w:rFonts w:ascii="Arial" w:cs="Arial" w:eastAsia="Arial" w:hAnsi="Arial"/>
          <w:sz w:val="14"/>
          <w:szCs w:val="14"/>
          <w:color w:val="auto"/>
        </w:rPr>
        <w:t>Adjusted EPS, which represents Adjusted Net Loss divided by UNIFI’s diluted weighted average common shares outstanding;</w:t>
      </w:r>
    </w:p>
    <w:p>
      <w:pPr>
        <w:spacing w:after="0" w:line="108"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7"/>
        </w:numPr>
        <w:rPr>
          <w:rFonts w:ascii="Times New Roman" w:cs="Times New Roman" w:eastAsia="Times New Roman" w:hAnsi="Times New Roman"/>
          <w:sz w:val="14"/>
          <w:szCs w:val="14"/>
          <w:color w:val="auto"/>
        </w:rPr>
      </w:pPr>
      <w:r>
        <w:rPr>
          <w:rFonts w:ascii="Arial" w:cs="Arial" w:eastAsia="Arial" w:hAnsi="Arial"/>
          <w:sz w:val="14"/>
          <w:szCs w:val="14"/>
          <w:color w:val="auto"/>
        </w:rPr>
        <w:t>Adjusted Working Capital, which equals receivables plus inventories and other current assets, less accounts payable and other current liabilities; and</w:t>
      </w:r>
    </w:p>
    <w:p>
      <w:pPr>
        <w:spacing w:after="0" w:line="108"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7"/>
        </w:numPr>
        <w:rPr>
          <w:rFonts w:ascii="Times New Roman" w:cs="Times New Roman" w:eastAsia="Times New Roman" w:hAnsi="Times New Roman"/>
          <w:sz w:val="14"/>
          <w:szCs w:val="14"/>
          <w:color w:val="auto"/>
        </w:rPr>
      </w:pPr>
      <w:r>
        <w:rPr>
          <w:rFonts w:ascii="Arial" w:cs="Arial" w:eastAsia="Arial" w:hAnsi="Arial"/>
          <w:sz w:val="14"/>
          <w:szCs w:val="14"/>
          <w:color w:val="auto"/>
        </w:rPr>
        <w:t>Net Debt, which represents debt principal less cash and cash equivalents.</w:t>
      </w:r>
    </w:p>
    <w:p>
      <w:pPr>
        <w:spacing w:after="0" w:line="216" w:lineRule="exact"/>
        <w:rPr>
          <w:sz w:val="20"/>
          <w:szCs w:val="20"/>
          <w:color w:val="auto"/>
        </w:rPr>
      </w:pPr>
    </w:p>
    <w:p>
      <w:pPr>
        <w:jc w:val="both"/>
        <w:spacing w:after="0" w:line="247" w:lineRule="auto"/>
        <w:rPr>
          <w:sz w:val="20"/>
          <w:szCs w:val="20"/>
          <w:color w:val="auto"/>
        </w:rPr>
      </w:pPr>
      <w:r>
        <w:rPr>
          <w:rFonts w:ascii="Arial" w:cs="Arial" w:eastAsia="Arial" w:hAnsi="Arial"/>
          <w:sz w:val="14"/>
          <w:szCs w:val="14"/>
          <w:color w:val="auto"/>
        </w:rPr>
        <w:t>EBITDA, Adjusted EBITDA, Adjusted Net Loss, Adjusted EPS, Adjusted Working Capital, and Net Debt (collectively, the “non-GAAP financial measures”) are not determined in accordance with GAAP and should not be considered a substitute for performance measures determined in accordance with GAAP. The calculations of the non-GAAP financial measures are subjective, based on management’s belief as to which items should be included or excluded in order to provide the most reasonable and comparable view of the underlying operating performance of the business. We may, from time to time, modify the amounts used to determine our non-GAAP financial measures. When applicable, management’s discussion and analysis includes specific consideration for items that comprise the reconciliations of its non-GAAP financial measures. We believe that these non-GAAP financial measures better reflect UNIFI’s underlying operations and performance and that their use, as operating performance measures, provides investors and analysts with a measure of operating results unaffected by differences in capital structures, capital investment cycles, and ages of related assets, among otherwise comparable companies.</w:t>
      </w:r>
    </w:p>
    <w:p>
      <w:pPr>
        <w:spacing w:after="0" w:line="352"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Management uses Adjusted EBITDA (i) as a measurement of operating performance because it assists us in comparing our operating performance on a consistent basis, as it removes the impact of items (a) directly related to our asset base (primarily depreciation and amortization) and/or (b) that we would not expect to occur as a part of our normal business on a regular basis; (ii) for planning purposes, including the preparation of our annual operating budget; (iii) as a valuation measure for evaluating our operating performance and our capacity to incur and service debt, fund capital expenditures, and expand our business; and (iv) as one measure in determining the value of other acquisitions and dispositions. Adjusted EBITDA is a key performance metric utilized in the determination of variable compensation. We also believe Adjusted EBITDA is an appropriate supplemental measure of debt service capacity because it serves as a high-level proxy for cash generated from operations and is relevant to our fixed charge coverage ratio.</w:t>
      </w:r>
    </w:p>
    <w:p>
      <w:pPr>
        <w:spacing w:after="0" w:line="348"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Management uses Adjusted Net Loss and Adjusted EPS (i) as measurements of net operating performance because they assist us in comparing such performance on a consistent basis, as they remove the impact of (a) items that we would not expect to occur as a part of our normal business on a regular basis and (b) components of the provision for income taxes that we would not expect to occur as a part of our underlying taxable operations; (ii) for planning purposes, including the preparation of our annual operating budget; and (iii) as measures in determining the value of other acquisitions and dispositions.</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Management uses Adjusted Working Capital as an indicator of UNIFI’s production efficiency and ability to manage inventories and receivables.</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Management uses Net Debt as a liquidity and leverage metric to determine how much debt would remain if all cash and cash equivalents were used to pay down debt principal.</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4"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b w:val="1"/>
          <w:bCs w:val="1"/>
          <w:color w:val="auto"/>
        </w:rPr>
        <w:t>Review of Results of Operations</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Three Months Ended March 29, 2026 Compared to Three Months Ended March 30, 2025</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Consolidated Overview</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The below tables provide:</w:t>
      </w:r>
    </w:p>
    <w:p>
      <w:pPr>
        <w:spacing w:after="0" w:line="109"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4"/>
          <w:szCs w:val="14"/>
          <w:color w:val="auto"/>
        </w:rPr>
      </w:pPr>
      <w:r>
        <w:rPr>
          <w:rFonts w:ascii="Arial" w:cs="Arial" w:eastAsia="Arial" w:hAnsi="Arial"/>
          <w:sz w:val="14"/>
          <w:szCs w:val="14"/>
          <w:color w:val="auto"/>
        </w:rPr>
        <w:t>the components of net loss and the percentage increase or decrease over the prior period amounts, and</w:t>
      </w:r>
    </w:p>
    <w:p>
      <w:pPr>
        <w:spacing w:after="0" w:line="108"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8"/>
        </w:numPr>
        <w:rPr>
          <w:rFonts w:ascii="Times New Roman" w:cs="Times New Roman" w:eastAsia="Times New Roman" w:hAnsi="Times New Roman"/>
          <w:sz w:val="14"/>
          <w:szCs w:val="14"/>
          <w:color w:val="auto"/>
        </w:rPr>
      </w:pPr>
      <w:r>
        <w:rPr>
          <w:rFonts w:ascii="Arial" w:cs="Arial" w:eastAsia="Arial" w:hAnsi="Arial"/>
          <w:sz w:val="14"/>
          <w:szCs w:val="14"/>
          <w:color w:val="auto"/>
        </w:rPr>
        <w:t>a reconciliation from net loss to EBITDA and Adjusted EBITDA.</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Following the tables is a discussion and analysis of the significant components of net loss.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gridSpan w:val="2"/>
          </w:tcPr>
          <w:p>
            <w:pPr>
              <w:spacing w:after="0"/>
              <w:rPr>
                <w:sz w:val="20"/>
                <w:szCs w:val="20"/>
                <w:color w:val="auto"/>
              </w:rPr>
            </w:pPr>
            <w:r>
              <w:rPr>
                <w:rFonts w:ascii="Arial" w:cs="Arial" w:eastAsia="Arial" w:hAnsi="Arial"/>
                <w:sz w:val="14"/>
                <w:szCs w:val="14"/>
                <w:i w:val="1"/>
                <w:iCs w:val="1"/>
                <w:color w:val="auto"/>
              </w:rPr>
              <w:t>Net Loss</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580" w:type="dxa"/>
            <w:vAlign w:val="bottom"/>
            <w:tcBorders>
              <w:top w:val="single" w:sz="8" w:color="auto"/>
            </w:tcBorders>
          </w:tcPr>
          <w:p>
            <w:pPr>
              <w:spacing w:after="0"/>
              <w:rPr>
                <w:sz w:val="24"/>
                <w:szCs w:val="24"/>
                <w:color w:val="auto"/>
              </w:rPr>
            </w:pPr>
          </w:p>
        </w:tc>
        <w:tc>
          <w:tcPr>
            <w:tcW w:w="35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6"/>
          </w:tcPr>
          <w:p>
            <w:pPr>
              <w:jc w:val="right"/>
              <w:ind w:right="540"/>
              <w:spacing w:after="0"/>
              <w:rPr>
                <w:sz w:val="20"/>
                <w:szCs w:val="20"/>
                <w:color w:val="auto"/>
              </w:rPr>
            </w:pPr>
            <w:r>
              <w:rPr>
                <w:rFonts w:ascii="Arial" w:cs="Arial" w:eastAsia="Arial" w:hAnsi="Arial"/>
                <w:sz w:val="14"/>
                <w:szCs w:val="14"/>
                <w:b w:val="1"/>
                <w:bCs w:val="1"/>
                <w:color w:val="auto"/>
              </w:rPr>
              <w:t>For the Three Months Ended</w:t>
            </w:r>
          </w:p>
        </w:tc>
        <w:tc>
          <w:tcPr>
            <w:tcW w:w="12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20" w:type="dxa"/>
            <w:vAlign w:val="bottom"/>
            <w:gridSpan w:val="4"/>
          </w:tcPr>
          <w:p>
            <w:pPr>
              <w:jc w:val="right"/>
              <w:ind w:right="960"/>
              <w:spacing w:after="0" w:line="155" w:lineRule="exact"/>
              <w:rPr>
                <w:sz w:val="20"/>
                <w:szCs w:val="20"/>
                <w:color w:val="auto"/>
              </w:rPr>
            </w:pPr>
            <w:r>
              <w:rPr>
                <w:rFonts w:ascii="Arial" w:cs="Arial" w:eastAsia="Arial" w:hAnsi="Arial"/>
                <w:sz w:val="14"/>
                <w:szCs w:val="14"/>
                <w:b w:val="1"/>
                <w:bCs w:val="1"/>
                <w:color w:val="auto"/>
              </w:rPr>
              <w:t>March 29, 2026</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60" w:type="dxa"/>
            <w:vAlign w:val="bottom"/>
            <w:gridSpan w:val="3"/>
          </w:tcPr>
          <w:p>
            <w:pPr>
              <w:jc w:val="right"/>
              <w:ind w:right="748"/>
              <w:spacing w:after="0" w:line="155" w:lineRule="exact"/>
              <w:rPr>
                <w:sz w:val="20"/>
                <w:szCs w:val="20"/>
                <w:color w:val="auto"/>
              </w:rPr>
            </w:pPr>
            <w:r>
              <w:rPr>
                <w:rFonts w:ascii="Arial" w:cs="Arial" w:eastAsia="Arial" w:hAnsi="Arial"/>
                <w:sz w:val="14"/>
                <w:szCs w:val="14"/>
                <w:b w:val="1"/>
                <w:bCs w:val="1"/>
                <w:color w:val="auto"/>
              </w:rPr>
              <w:t>March 30, 2025</w:t>
            </w:r>
          </w:p>
        </w:tc>
        <w:tc>
          <w:tcPr>
            <w:tcW w:w="200" w:type="dxa"/>
            <w:vAlign w:val="bottom"/>
          </w:tcPr>
          <w:p>
            <w:pPr>
              <w:spacing w:after="0"/>
              <w:rPr>
                <w:sz w:val="13"/>
                <w:szCs w:val="13"/>
                <w:color w:val="auto"/>
              </w:rPr>
            </w:pPr>
          </w:p>
        </w:tc>
        <w:tc>
          <w:tcPr>
            <w:tcW w:w="1280" w:type="dxa"/>
            <w:vAlign w:val="bottom"/>
            <w:vMerge w:val="restart"/>
          </w:tcPr>
          <w:p>
            <w:pPr>
              <w:jc w:val="right"/>
              <w:ind w:right="50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right"/>
              <w:ind w:right="428"/>
              <w:spacing w:after="0" w:line="147" w:lineRule="exact"/>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ind w:right="408"/>
              <w:spacing w:after="0" w:line="147"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Net Sales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Net Sales</w:t>
            </w:r>
          </w:p>
        </w:tc>
        <w:tc>
          <w:tcPr>
            <w:tcW w:w="200" w:type="dxa"/>
            <w:vAlign w:val="bottom"/>
          </w:tcPr>
          <w:p>
            <w:pPr>
              <w:spacing w:after="0"/>
              <w:rPr>
                <w:sz w:val="14"/>
                <w:szCs w:val="14"/>
                <w:color w:val="auto"/>
              </w:rPr>
            </w:pPr>
          </w:p>
        </w:tc>
        <w:tc>
          <w:tcPr>
            <w:tcW w:w="12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40" w:type="dxa"/>
            <w:vAlign w:val="bottom"/>
            <w:gridSpan w:val="2"/>
            <w:shd w:val="clear" w:color="auto" w:fill="CFF0FC"/>
          </w:tcPr>
          <w:p>
            <w:pPr>
              <w:spacing w:after="0" w:line="155" w:lineRule="exact"/>
              <w:rPr>
                <w:sz w:val="20"/>
                <w:szCs w:val="20"/>
                <w:color w:val="auto"/>
              </w:rPr>
            </w:pPr>
            <w:r>
              <w:rPr>
                <w:rFonts w:ascii="Arial" w:cs="Arial" w:eastAsia="Arial" w:hAnsi="Arial"/>
                <w:sz w:val="14"/>
                <w:szCs w:val="14"/>
                <w:color w:val="auto"/>
              </w:rPr>
              <w:t>Net sales</w:t>
            </w:r>
          </w:p>
        </w:tc>
        <w:tc>
          <w:tcPr>
            <w:tcW w:w="360" w:type="dxa"/>
            <w:vAlign w:val="bottom"/>
            <w:shd w:val="clear" w:color="auto" w:fill="CFF0FC"/>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130,037</w:t>
            </w:r>
          </w:p>
        </w:tc>
        <w:tc>
          <w:tcPr>
            <w:tcW w:w="22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100.0</w:t>
            </w:r>
          </w:p>
        </w:tc>
        <w:tc>
          <w:tcPr>
            <w:tcW w:w="140" w:type="dxa"/>
            <w:vAlign w:val="bottom"/>
            <w:shd w:val="clear" w:color="auto" w:fill="CFF0FC"/>
          </w:tcPr>
          <w:p>
            <w:pPr>
              <w:spacing w:after="0"/>
              <w:rPr>
                <w:sz w:val="13"/>
                <w:szCs w:val="13"/>
                <w:color w:val="auto"/>
              </w:rPr>
            </w:pPr>
          </w:p>
        </w:tc>
        <w:tc>
          <w:tcPr>
            <w:tcW w:w="460" w:type="dxa"/>
            <w:vAlign w:val="bottom"/>
            <w:gridSpan w:val="2"/>
            <w:shd w:val="clear" w:color="auto" w:fill="CFF0FC"/>
          </w:tcPr>
          <w:p>
            <w:pPr>
              <w:jc w:val="right"/>
              <w:ind w:right="208"/>
              <w:spacing w:after="0" w:line="155" w:lineRule="exact"/>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146,557</w:t>
            </w:r>
          </w:p>
        </w:tc>
        <w:tc>
          <w:tcPr>
            <w:tcW w:w="22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100.0</w:t>
            </w:r>
          </w:p>
        </w:tc>
        <w:tc>
          <w:tcPr>
            <w:tcW w:w="20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62"/>
        </w:trPr>
        <w:tc>
          <w:tcPr>
            <w:tcW w:w="4140" w:type="dxa"/>
            <w:vAlign w:val="bottom"/>
            <w:gridSpan w:val="2"/>
          </w:tcPr>
          <w:p>
            <w:pPr>
              <w:spacing w:after="0"/>
              <w:rPr>
                <w:sz w:val="20"/>
                <w:szCs w:val="20"/>
                <w:color w:val="auto"/>
              </w:rPr>
            </w:pPr>
            <w:r>
              <w:rPr>
                <w:rFonts w:ascii="Arial" w:cs="Arial" w:eastAsia="Arial" w:hAnsi="Arial"/>
                <w:sz w:val="14"/>
                <w:szCs w:val="14"/>
                <w:color w:val="auto"/>
              </w:rPr>
              <w:t>Cost of sales</w:t>
            </w: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120,920</w:t>
            </w:r>
          </w:p>
        </w:tc>
        <w:tc>
          <w:tcPr>
            <w:tcW w:w="220" w:type="dxa"/>
            <w:vAlign w:val="bottom"/>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147,002</w:t>
            </w:r>
          </w:p>
        </w:tc>
        <w:tc>
          <w:tcPr>
            <w:tcW w:w="220" w:type="dxa"/>
            <w:vAlign w:val="bottom"/>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100.3</w:t>
            </w:r>
          </w:p>
        </w:tc>
        <w:tc>
          <w:tcPr>
            <w:tcW w:w="200" w:type="dxa"/>
            <w:vAlign w:val="bottom"/>
          </w:tcPr>
          <w:p>
            <w:pPr>
              <w:spacing w:after="0"/>
              <w:rPr>
                <w:sz w:val="14"/>
                <w:szCs w:val="14"/>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156"/>
        </w:trPr>
        <w:tc>
          <w:tcPr>
            <w:tcW w:w="4140" w:type="dxa"/>
            <w:vAlign w:val="bottom"/>
            <w:gridSpan w:val="2"/>
            <w:shd w:val="clear" w:color="auto" w:fill="CFF0FC"/>
          </w:tcPr>
          <w:p>
            <w:pPr>
              <w:spacing w:after="0" w:line="155" w:lineRule="exact"/>
              <w:rPr>
                <w:sz w:val="20"/>
                <w:szCs w:val="20"/>
                <w:color w:val="auto"/>
              </w:rPr>
            </w:pPr>
            <w:r>
              <w:rPr>
                <w:rFonts w:ascii="Arial" w:cs="Arial" w:eastAsia="Arial" w:hAnsi="Arial"/>
                <w:sz w:val="14"/>
                <w:szCs w:val="14"/>
                <w:color w:val="auto"/>
              </w:rPr>
              <w:t>Gross profit (loss)</w:t>
            </w:r>
          </w:p>
        </w:tc>
        <w:tc>
          <w:tcPr>
            <w:tcW w:w="36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9,117</w:t>
            </w:r>
          </w:p>
        </w:tc>
        <w:tc>
          <w:tcPr>
            <w:tcW w:w="22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7.0</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160"/>
              <w:spacing w:after="0" w:line="155" w:lineRule="exact"/>
              <w:rPr>
                <w:sz w:val="20"/>
                <w:szCs w:val="20"/>
                <w:color w:val="auto"/>
              </w:rPr>
            </w:pPr>
            <w:r>
              <w:rPr>
                <w:rFonts w:ascii="Arial" w:cs="Arial" w:eastAsia="Arial" w:hAnsi="Arial"/>
                <w:sz w:val="14"/>
                <w:szCs w:val="14"/>
                <w:color w:val="auto"/>
              </w:rPr>
              <w:t>(445)</w:t>
            </w:r>
          </w:p>
        </w:tc>
        <w:tc>
          <w:tcPr>
            <w:tcW w:w="1440" w:type="dxa"/>
            <w:vAlign w:val="bottom"/>
            <w:gridSpan w:val="2"/>
            <w:shd w:val="clear" w:color="auto" w:fill="CFF0FC"/>
          </w:tcPr>
          <w:p>
            <w:pPr>
              <w:jc w:val="right"/>
              <w:ind w:right="160"/>
              <w:spacing w:after="0" w:line="155" w:lineRule="exact"/>
              <w:rPr>
                <w:sz w:val="20"/>
                <w:szCs w:val="20"/>
                <w:color w:val="auto"/>
              </w:rPr>
            </w:pPr>
            <w:r>
              <w:rPr>
                <w:rFonts w:ascii="Arial" w:cs="Arial" w:eastAsia="Arial" w:hAnsi="Arial"/>
                <w:sz w:val="14"/>
                <w:szCs w:val="14"/>
                <w:color w:val="auto"/>
              </w:rPr>
              <w:t>(0.3)</w:t>
            </w:r>
          </w:p>
        </w:tc>
        <w:tc>
          <w:tcPr>
            <w:tcW w:w="1400" w:type="dxa"/>
            <w:vAlign w:val="bottom"/>
            <w:gridSpan w:val="2"/>
            <w:shd w:val="clear" w:color="auto" w:fill="CFF0FC"/>
          </w:tcPr>
          <w:p>
            <w:pPr>
              <w:jc w:val="right"/>
              <w:ind w:right="140"/>
              <w:spacing w:after="0" w:line="155" w:lineRule="exact"/>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62"/>
        </w:trPr>
        <w:tc>
          <w:tcPr>
            <w:tcW w:w="4140" w:type="dxa"/>
            <w:vAlign w:val="bottom"/>
            <w:gridSpan w:val="2"/>
          </w:tcPr>
          <w:p>
            <w:pPr>
              <w:spacing w:after="0"/>
              <w:rPr>
                <w:sz w:val="20"/>
                <w:szCs w:val="20"/>
                <w:color w:val="auto"/>
              </w:rPr>
            </w:pPr>
            <w:r>
              <w:rPr>
                <w:rFonts w:ascii="Arial" w:cs="Arial" w:eastAsia="Arial" w:hAnsi="Arial"/>
                <w:sz w:val="14"/>
                <w:szCs w:val="14"/>
                <w:color w:val="auto"/>
              </w:rPr>
              <w:t>SG&amp;A</w:t>
            </w: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11,188</w:t>
            </w: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12,295</w:t>
            </w:r>
          </w:p>
        </w:tc>
        <w:tc>
          <w:tcPr>
            <w:tcW w:w="2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8.4</w:t>
            </w:r>
          </w:p>
        </w:tc>
        <w:tc>
          <w:tcPr>
            <w:tcW w:w="200" w:type="dxa"/>
            <w:vAlign w:val="bottom"/>
          </w:tcPr>
          <w:p>
            <w:pPr>
              <w:spacing w:after="0"/>
              <w:rPr>
                <w:sz w:val="14"/>
                <w:szCs w:val="14"/>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62"/>
        </w:trPr>
        <w:tc>
          <w:tcPr>
            <w:tcW w:w="41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Benefit for bad debts</w:t>
            </w:r>
          </w:p>
        </w:tc>
        <w:tc>
          <w:tcPr>
            <w:tcW w:w="36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(294)</w:t>
            </w: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(255)</w:t>
            </w: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(0.2)</w:t>
            </w: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40" w:type="dxa"/>
            <w:vAlign w:val="bottom"/>
            <w:gridSpan w:val="2"/>
          </w:tcPr>
          <w:p>
            <w:pPr>
              <w:spacing w:after="0"/>
              <w:rPr>
                <w:sz w:val="20"/>
                <w:szCs w:val="20"/>
                <w:color w:val="auto"/>
              </w:rPr>
            </w:pPr>
            <w:r>
              <w:rPr>
                <w:rFonts w:ascii="Arial" w:cs="Arial" w:eastAsia="Arial" w:hAnsi="Arial"/>
                <w:sz w:val="14"/>
                <w:szCs w:val="14"/>
                <w:color w:val="auto"/>
              </w:rPr>
              <w:t>Restructuring costs, net</w:t>
            </w:r>
          </w:p>
        </w:tc>
        <w:tc>
          <w:tcPr>
            <w:tcW w:w="36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1,320</w:t>
            </w:r>
          </w:p>
        </w:tc>
        <w:tc>
          <w:tcPr>
            <w:tcW w:w="2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0.9</w:t>
            </w:r>
          </w:p>
        </w:tc>
        <w:tc>
          <w:tcPr>
            <w:tcW w:w="200" w:type="dxa"/>
            <w:vAlign w:val="bottom"/>
          </w:tcPr>
          <w:p>
            <w:pPr>
              <w:spacing w:after="0"/>
              <w:rPr>
                <w:sz w:val="14"/>
                <w:szCs w:val="14"/>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62"/>
        </w:trPr>
        <w:tc>
          <w:tcPr>
            <w:tcW w:w="41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Other operating (income) expense, net</w:t>
            </w:r>
          </w:p>
        </w:tc>
        <w:tc>
          <w:tcPr>
            <w:tcW w:w="36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(1,660)</w:t>
            </w: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w:t>
            </w:r>
          </w:p>
        </w:tc>
        <w:tc>
          <w:tcPr>
            <w:tcW w:w="22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
        </w:trPr>
        <w:tc>
          <w:tcPr>
            <w:tcW w:w="580" w:type="dxa"/>
            <w:vAlign w:val="bottom"/>
            <w:shd w:val="clear" w:color="auto" w:fill="CFF0FC"/>
          </w:tcPr>
          <w:p>
            <w:pPr>
              <w:spacing w:after="0" w:line="20" w:lineRule="exact"/>
              <w:rPr>
                <w:sz w:val="1"/>
                <w:szCs w:val="1"/>
                <w:color w:val="auto"/>
              </w:rPr>
            </w:pPr>
          </w:p>
        </w:tc>
        <w:tc>
          <w:tcPr>
            <w:tcW w:w="35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140" w:type="dxa"/>
            <w:vAlign w:val="bottom"/>
            <w:gridSpan w:val="2"/>
          </w:tcPr>
          <w:p>
            <w:pPr>
              <w:spacing w:after="0" w:line="155" w:lineRule="exact"/>
              <w:rPr>
                <w:sz w:val="20"/>
                <w:szCs w:val="20"/>
                <w:color w:val="auto"/>
              </w:rPr>
            </w:pPr>
            <w:r>
              <w:rPr>
                <w:rFonts w:ascii="Arial" w:cs="Arial" w:eastAsia="Arial" w:hAnsi="Arial"/>
                <w:sz w:val="14"/>
                <w:szCs w:val="14"/>
                <w:color w:val="auto"/>
              </w:rPr>
              <w:t>Operating loss</w:t>
            </w:r>
          </w:p>
        </w:tc>
        <w:tc>
          <w:tcPr>
            <w:tcW w:w="360" w:type="dxa"/>
            <w:vAlign w:val="bottom"/>
          </w:tcPr>
          <w:p>
            <w:pPr>
              <w:spacing w:after="0"/>
              <w:rPr>
                <w:sz w:val="13"/>
                <w:szCs w:val="13"/>
                <w:color w:val="auto"/>
              </w:rPr>
            </w:pPr>
          </w:p>
        </w:tc>
        <w:tc>
          <w:tcPr>
            <w:tcW w:w="10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(117)</w:t>
            </w:r>
          </w:p>
        </w:tc>
        <w:tc>
          <w:tcPr>
            <w:tcW w:w="140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(0.1)</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(13,860)</w:t>
            </w:r>
          </w:p>
        </w:tc>
        <w:tc>
          <w:tcPr>
            <w:tcW w:w="144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(9.4)</w:t>
            </w:r>
          </w:p>
        </w:tc>
        <w:tc>
          <w:tcPr>
            <w:tcW w:w="14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(99.2)</w:t>
            </w:r>
          </w:p>
        </w:tc>
        <w:tc>
          <w:tcPr>
            <w:tcW w:w="0" w:type="dxa"/>
            <w:vAlign w:val="bottom"/>
          </w:tcPr>
          <w:p>
            <w:pPr>
              <w:spacing w:after="0"/>
              <w:rPr>
                <w:sz w:val="1"/>
                <w:szCs w:val="1"/>
                <w:color w:val="auto"/>
              </w:rPr>
            </w:pPr>
          </w:p>
        </w:tc>
      </w:tr>
      <w:tr>
        <w:trPr>
          <w:trHeight w:val="162"/>
        </w:trPr>
        <w:tc>
          <w:tcPr>
            <w:tcW w:w="41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Interest expense, net</w:t>
            </w:r>
          </w:p>
        </w:tc>
        <w:tc>
          <w:tcPr>
            <w:tcW w:w="36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1,113</w:t>
            </w:r>
          </w:p>
        </w:tc>
        <w:tc>
          <w:tcPr>
            <w:tcW w:w="22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0.9</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2,219</w:t>
            </w:r>
          </w:p>
        </w:tc>
        <w:tc>
          <w:tcPr>
            <w:tcW w:w="22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w:t>
            </w:r>
          </w:p>
        </w:tc>
        <w:tc>
          <w:tcPr>
            <w:tcW w:w="20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(49.8)</w:t>
            </w:r>
          </w:p>
        </w:tc>
        <w:tc>
          <w:tcPr>
            <w:tcW w:w="0" w:type="dxa"/>
            <w:vAlign w:val="bottom"/>
          </w:tcPr>
          <w:p>
            <w:pPr>
              <w:spacing w:after="0"/>
              <w:rPr>
                <w:sz w:val="1"/>
                <w:szCs w:val="1"/>
                <w:color w:val="auto"/>
              </w:rPr>
            </w:pPr>
          </w:p>
        </w:tc>
      </w:tr>
      <w:tr>
        <w:trPr>
          <w:trHeight w:val="162"/>
        </w:trPr>
        <w:tc>
          <w:tcPr>
            <w:tcW w:w="4140" w:type="dxa"/>
            <w:vAlign w:val="bottom"/>
            <w:gridSpan w:val="2"/>
          </w:tcPr>
          <w:p>
            <w:pPr>
              <w:spacing w:after="0"/>
              <w:rPr>
                <w:sz w:val="20"/>
                <w:szCs w:val="20"/>
                <w:color w:val="auto"/>
              </w:rPr>
            </w:pPr>
            <w:r>
              <w:rPr>
                <w:rFonts w:ascii="Arial" w:cs="Arial" w:eastAsia="Arial" w:hAnsi="Arial"/>
                <w:sz w:val="14"/>
                <w:szCs w:val="14"/>
                <w:color w:val="auto"/>
              </w:rPr>
              <w:t>Equity in loss of unconsolidated affiliate</w:t>
            </w: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w:t>
            </w:r>
          </w:p>
        </w:tc>
        <w:tc>
          <w:tcPr>
            <w:tcW w:w="220" w:type="dxa"/>
            <w:vAlign w:val="bottom"/>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w:t>
            </w:r>
          </w:p>
        </w:tc>
        <w:tc>
          <w:tcPr>
            <w:tcW w:w="220" w:type="dxa"/>
            <w:vAlign w:val="bottom"/>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40" w:type="dxa"/>
            <w:vAlign w:val="bottom"/>
            <w:gridSpan w:val="2"/>
            <w:shd w:val="clear" w:color="auto" w:fill="CFF0FC"/>
          </w:tcPr>
          <w:p>
            <w:pPr>
              <w:spacing w:after="0" w:line="155" w:lineRule="exact"/>
              <w:rPr>
                <w:sz w:val="20"/>
                <w:szCs w:val="20"/>
                <w:color w:val="auto"/>
              </w:rPr>
            </w:pPr>
            <w:r>
              <w:rPr>
                <w:rFonts w:ascii="Arial" w:cs="Arial" w:eastAsia="Arial" w:hAnsi="Arial"/>
                <w:sz w:val="14"/>
                <w:szCs w:val="14"/>
                <w:color w:val="auto"/>
              </w:rPr>
              <w:t>Loss before income taxes</w:t>
            </w:r>
          </w:p>
        </w:tc>
        <w:tc>
          <w:tcPr>
            <w:tcW w:w="3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color w:val="auto"/>
              </w:rPr>
              <w:t>(1,470)</w:t>
            </w:r>
          </w:p>
        </w:tc>
        <w:tc>
          <w:tcPr>
            <w:tcW w:w="1400" w:type="dxa"/>
            <w:vAlign w:val="bottom"/>
            <w:gridSpan w:val="2"/>
            <w:shd w:val="clear" w:color="auto" w:fill="CFF0FC"/>
          </w:tcPr>
          <w:p>
            <w:pPr>
              <w:jc w:val="right"/>
              <w:ind w:right="100"/>
              <w:spacing w:after="0" w:line="155" w:lineRule="exact"/>
              <w:rPr>
                <w:sz w:val="20"/>
                <w:szCs w:val="20"/>
                <w:color w:val="auto"/>
              </w:rPr>
            </w:pPr>
            <w:r>
              <w:rPr>
                <w:rFonts w:ascii="Arial" w:cs="Arial" w:eastAsia="Arial" w:hAnsi="Arial"/>
                <w:sz w:val="14"/>
                <w:szCs w:val="14"/>
                <w:color w:val="auto"/>
              </w:rPr>
              <w:t>(1.2)</w:t>
            </w: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160"/>
              <w:spacing w:after="0" w:line="155" w:lineRule="exact"/>
              <w:rPr>
                <w:sz w:val="20"/>
                <w:szCs w:val="20"/>
                <w:color w:val="auto"/>
              </w:rPr>
            </w:pPr>
            <w:r>
              <w:rPr>
                <w:rFonts w:ascii="Arial" w:cs="Arial" w:eastAsia="Arial" w:hAnsi="Arial"/>
                <w:sz w:val="14"/>
                <w:szCs w:val="14"/>
                <w:color w:val="auto"/>
              </w:rPr>
              <w:t>(16,295)</w:t>
            </w:r>
          </w:p>
        </w:tc>
        <w:tc>
          <w:tcPr>
            <w:tcW w:w="1440" w:type="dxa"/>
            <w:vAlign w:val="bottom"/>
            <w:gridSpan w:val="2"/>
            <w:shd w:val="clear" w:color="auto" w:fill="CFF0FC"/>
          </w:tcPr>
          <w:p>
            <w:pPr>
              <w:jc w:val="right"/>
              <w:ind w:right="160"/>
              <w:spacing w:after="0" w:line="155" w:lineRule="exact"/>
              <w:rPr>
                <w:sz w:val="20"/>
                <w:szCs w:val="20"/>
                <w:color w:val="auto"/>
              </w:rPr>
            </w:pPr>
            <w:r>
              <w:rPr>
                <w:rFonts w:ascii="Arial" w:cs="Arial" w:eastAsia="Arial" w:hAnsi="Arial"/>
                <w:sz w:val="14"/>
                <w:szCs w:val="14"/>
                <w:color w:val="auto"/>
              </w:rPr>
              <w:t>(11.1)</w:t>
            </w:r>
          </w:p>
        </w:tc>
        <w:tc>
          <w:tcPr>
            <w:tcW w:w="140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(91.0)</w:t>
            </w:r>
          </w:p>
        </w:tc>
        <w:tc>
          <w:tcPr>
            <w:tcW w:w="0" w:type="dxa"/>
            <w:vAlign w:val="bottom"/>
          </w:tcPr>
          <w:p>
            <w:pPr>
              <w:spacing w:after="0"/>
              <w:rPr>
                <w:sz w:val="1"/>
                <w:szCs w:val="1"/>
                <w:color w:val="auto"/>
              </w:rPr>
            </w:pPr>
          </w:p>
        </w:tc>
      </w:tr>
      <w:tr>
        <w:trPr>
          <w:trHeight w:val="162"/>
        </w:trPr>
        <w:tc>
          <w:tcPr>
            <w:tcW w:w="4140" w:type="dxa"/>
            <w:vAlign w:val="bottom"/>
            <w:gridSpan w:val="2"/>
          </w:tcPr>
          <w:p>
            <w:pPr>
              <w:spacing w:after="0"/>
              <w:rPr>
                <w:sz w:val="20"/>
                <w:szCs w:val="20"/>
                <w:color w:val="auto"/>
              </w:rPr>
            </w:pPr>
            <w:r>
              <w:rPr>
                <w:rFonts w:ascii="Arial" w:cs="Arial" w:eastAsia="Arial" w:hAnsi="Arial"/>
                <w:sz w:val="14"/>
                <w:szCs w:val="14"/>
                <w:color w:val="auto"/>
              </w:rPr>
              <w:t>Provision for income taxes</w:t>
            </w: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836</w:t>
            </w:r>
          </w:p>
        </w:tc>
        <w:tc>
          <w:tcPr>
            <w:tcW w:w="220" w:type="dxa"/>
            <w:vAlign w:val="bottom"/>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499</w:t>
            </w:r>
          </w:p>
        </w:tc>
        <w:tc>
          <w:tcPr>
            <w:tcW w:w="220" w:type="dxa"/>
            <w:vAlign w:val="bottom"/>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67.5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140" w:type="dxa"/>
            <w:vAlign w:val="bottom"/>
            <w:tcBorders>
              <w:bottom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Net loss</w:t>
            </w:r>
          </w:p>
        </w:tc>
        <w:tc>
          <w:tcPr>
            <w:tcW w:w="360" w:type="dxa"/>
            <w:vAlign w:val="bottom"/>
            <w:tcBorders>
              <w:bottom w:val="single" w:sz="8" w:color="auto"/>
            </w:tcBorders>
            <w:shd w:val="clear" w:color="auto" w:fill="CFF0FC"/>
          </w:tcPr>
          <w:p>
            <w:pPr>
              <w:jc w:val="right"/>
              <w:ind w:right="208"/>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(2,306)</w:t>
            </w:r>
          </w:p>
        </w:tc>
        <w:tc>
          <w:tcPr>
            <w:tcW w:w="22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(1.8)</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ind w:right="208"/>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(16,794)</w:t>
            </w:r>
          </w:p>
        </w:tc>
        <w:tc>
          <w:tcPr>
            <w:tcW w:w="22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(11.5)</w:t>
            </w:r>
          </w:p>
        </w:tc>
        <w:tc>
          <w:tcPr>
            <w:tcW w:w="200" w:type="dxa"/>
            <w:vAlign w:val="bottom"/>
            <w:tcBorders>
              <w:bottom w:val="single" w:sz="8" w:color="CFF0FC"/>
            </w:tcBorders>
            <w:shd w:val="clear" w:color="auto" w:fill="CFF0FC"/>
          </w:tcPr>
          <w:p>
            <w:pPr>
              <w:spacing w:after="0"/>
              <w:rPr>
                <w:sz w:val="17"/>
                <w:szCs w:val="17"/>
                <w:color w:val="auto"/>
              </w:rPr>
            </w:pPr>
          </w:p>
        </w:tc>
        <w:tc>
          <w:tcPr>
            <w:tcW w:w="1400" w:type="dxa"/>
            <w:vAlign w:val="bottom"/>
            <w:tcBorders>
              <w:bottom w:val="single" w:sz="8" w:color="CFF0FC"/>
            </w:tcBorders>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(86.3)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-668020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-668020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-668020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-668020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-24765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-7620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-24765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-7620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-24765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EBITDA and Adjusted EBITDA (Non-GAAP Financial Measures)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The reconciliations of the amounts reported under GAAP for Net loss to EBITDA and Adjusted EBITDA were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8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For the Three Months Ended</w:t>
            </w:r>
          </w:p>
        </w:tc>
      </w:tr>
      <w:tr>
        <w:trPr>
          <w:trHeight w:val="155"/>
        </w:trPr>
        <w:tc>
          <w:tcPr>
            <w:tcW w:w="756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460" w:type="dxa"/>
            <w:vAlign w:val="bottom"/>
            <w:tcBorders>
              <w:top w:val="single" w:sz="8" w:color="auto"/>
              <w:bottom w:val="single" w:sz="8" w:color="auto"/>
            </w:tcBorders>
          </w:tcPr>
          <w:p>
            <w:pPr>
              <w:jc w:val="right"/>
              <w:ind w:right="248"/>
              <w:spacing w:after="0" w:line="155" w:lineRule="exact"/>
              <w:rPr>
                <w:sz w:val="20"/>
                <w:szCs w:val="20"/>
                <w:color w:val="auto"/>
              </w:rPr>
            </w:pPr>
            <w:r>
              <w:rPr>
                <w:rFonts w:ascii="Arial" w:cs="Arial" w:eastAsia="Arial" w:hAnsi="Arial"/>
                <w:sz w:val="14"/>
                <w:szCs w:val="14"/>
                <w:b w:val="1"/>
                <w:bCs w:val="1"/>
                <w:color w:val="auto"/>
              </w:rPr>
              <w:t>March 29, 2026</w:t>
            </w:r>
          </w:p>
        </w:tc>
        <w:tc>
          <w:tcPr>
            <w:tcW w:w="30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440" w:type="dxa"/>
            <w:vAlign w:val="bottom"/>
            <w:tcBorders>
              <w:top w:val="single" w:sz="8" w:color="auto"/>
              <w:bottom w:val="single" w:sz="8" w:color="auto"/>
            </w:tcBorders>
          </w:tcPr>
          <w:p>
            <w:pPr>
              <w:jc w:val="right"/>
              <w:ind w:right="248"/>
              <w:spacing w:after="0" w:line="155" w:lineRule="exact"/>
              <w:rPr>
                <w:sz w:val="20"/>
                <w:szCs w:val="20"/>
                <w:color w:val="auto"/>
              </w:rPr>
            </w:pPr>
            <w:r>
              <w:rPr>
                <w:rFonts w:ascii="Arial" w:cs="Arial" w:eastAsia="Arial" w:hAnsi="Arial"/>
                <w:sz w:val="14"/>
                <w:szCs w:val="14"/>
                <w:b w:val="1"/>
                <w:bCs w:val="1"/>
                <w:color w:val="auto"/>
              </w:rPr>
              <w:t>March 30, 2025</w:t>
            </w:r>
          </w:p>
        </w:tc>
        <w:tc>
          <w:tcPr>
            <w:tcW w:w="100" w:type="dxa"/>
            <w:vAlign w:val="bottom"/>
          </w:tcPr>
          <w:p>
            <w:pPr>
              <w:spacing w:after="0"/>
              <w:rPr>
                <w:sz w:val="13"/>
                <w:szCs w:val="13"/>
                <w:color w:val="auto"/>
              </w:rPr>
            </w:pPr>
          </w:p>
        </w:tc>
      </w:tr>
      <w:tr>
        <w:trPr>
          <w:trHeight w:val="155"/>
        </w:trPr>
        <w:tc>
          <w:tcPr>
            <w:tcW w:w="756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Net loss</w:t>
            </w:r>
          </w:p>
        </w:tc>
        <w:tc>
          <w:tcPr>
            <w:tcW w:w="20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760" w:type="dxa"/>
            <w:vAlign w:val="bottom"/>
            <w:gridSpan w:val="2"/>
            <w:shd w:val="clear" w:color="auto" w:fill="CFF0FC"/>
          </w:tcPr>
          <w:p>
            <w:pPr>
              <w:jc w:val="right"/>
              <w:ind w:right="260"/>
              <w:spacing w:after="0" w:line="155" w:lineRule="exact"/>
              <w:rPr>
                <w:sz w:val="20"/>
                <w:szCs w:val="20"/>
                <w:color w:val="auto"/>
              </w:rPr>
            </w:pPr>
            <w:r>
              <w:rPr>
                <w:rFonts w:ascii="Arial" w:cs="Arial" w:eastAsia="Arial" w:hAnsi="Arial"/>
                <w:sz w:val="14"/>
                <w:szCs w:val="14"/>
                <w:color w:val="auto"/>
              </w:rPr>
              <w:t>(2,306)</w:t>
            </w:r>
          </w:p>
        </w:tc>
        <w:tc>
          <w:tcPr>
            <w:tcW w:w="180" w:type="dxa"/>
            <w:vAlign w:val="bottom"/>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54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(16,794)</w:t>
            </w:r>
          </w:p>
        </w:tc>
      </w:tr>
      <w:tr>
        <w:trPr>
          <w:trHeight w:val="162"/>
        </w:trPr>
        <w:tc>
          <w:tcPr>
            <w:tcW w:w="7560" w:type="dxa"/>
            <w:vAlign w:val="bottom"/>
          </w:tcPr>
          <w:p>
            <w:pPr>
              <w:spacing w:after="0"/>
              <w:rPr>
                <w:sz w:val="20"/>
                <w:szCs w:val="20"/>
                <w:color w:val="auto"/>
              </w:rPr>
            </w:pPr>
            <w:r>
              <w:rPr>
                <w:rFonts w:ascii="Arial" w:cs="Arial" w:eastAsia="Arial" w:hAnsi="Arial"/>
                <w:sz w:val="14"/>
                <w:szCs w:val="14"/>
                <w:color w:val="auto"/>
              </w:rPr>
              <w:t>Interest expense, net</w:t>
            </w:r>
          </w:p>
        </w:tc>
        <w:tc>
          <w:tcPr>
            <w:tcW w:w="2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1,113</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2,219</w:t>
            </w:r>
          </w:p>
        </w:tc>
        <w:tc>
          <w:tcPr>
            <w:tcW w:w="100" w:type="dxa"/>
            <w:vAlign w:val="bottom"/>
          </w:tcPr>
          <w:p>
            <w:pPr>
              <w:spacing w:after="0"/>
              <w:rPr>
                <w:sz w:val="14"/>
                <w:szCs w:val="14"/>
                <w:color w:val="auto"/>
              </w:rPr>
            </w:pPr>
          </w:p>
        </w:tc>
      </w:tr>
      <w:tr>
        <w:trPr>
          <w:trHeight w:val="162"/>
        </w:trPr>
        <w:tc>
          <w:tcPr>
            <w:tcW w:w="7560" w:type="dxa"/>
            <w:vAlign w:val="bottom"/>
            <w:shd w:val="clear" w:color="auto" w:fill="CFF0FC"/>
          </w:tcPr>
          <w:p>
            <w:pPr>
              <w:spacing w:after="0"/>
              <w:rPr>
                <w:sz w:val="20"/>
                <w:szCs w:val="20"/>
                <w:color w:val="auto"/>
              </w:rPr>
            </w:pPr>
            <w:r>
              <w:rPr>
                <w:rFonts w:ascii="Arial" w:cs="Arial" w:eastAsia="Arial" w:hAnsi="Arial"/>
                <w:sz w:val="14"/>
                <w:szCs w:val="14"/>
                <w:color w:val="auto"/>
              </w:rPr>
              <w:t>Provision for income taxes</w:t>
            </w:r>
          </w:p>
        </w:tc>
        <w:tc>
          <w:tcPr>
            <w:tcW w:w="2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836</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499</w:t>
            </w:r>
          </w:p>
        </w:tc>
        <w:tc>
          <w:tcPr>
            <w:tcW w:w="100" w:type="dxa"/>
            <w:vAlign w:val="bottom"/>
            <w:shd w:val="clear" w:color="auto" w:fill="CFF0FC"/>
          </w:tcPr>
          <w:p>
            <w:pPr>
              <w:spacing w:after="0"/>
              <w:rPr>
                <w:sz w:val="14"/>
                <w:szCs w:val="14"/>
                <w:color w:val="auto"/>
              </w:rPr>
            </w:pPr>
          </w:p>
        </w:tc>
      </w:tr>
      <w:tr>
        <w:trPr>
          <w:trHeight w:val="162"/>
        </w:trPr>
        <w:tc>
          <w:tcPr>
            <w:tcW w:w="7560" w:type="dxa"/>
            <w:vAlign w:val="bottom"/>
          </w:tcPr>
          <w:p>
            <w:pPr>
              <w:spacing w:after="0" w:line="162" w:lineRule="exact"/>
              <w:rPr>
                <w:sz w:val="20"/>
                <w:szCs w:val="20"/>
                <w:color w:val="auto"/>
              </w:rPr>
            </w:pPr>
            <w:r>
              <w:rPr>
                <w:rFonts w:ascii="Arial" w:cs="Arial" w:eastAsia="Arial" w:hAnsi="Arial"/>
                <w:sz w:val="14"/>
                <w:szCs w:val="14"/>
                <w:color w:val="auto"/>
              </w:rPr>
              <w:t xml:space="preserve">Depreciation and amortization expense </w:t>
            </w:r>
            <w:r>
              <w:rPr>
                <w:rFonts w:ascii="Arial" w:cs="Arial" w:eastAsia="Arial" w:hAnsi="Arial"/>
                <w:sz w:val="18"/>
                <w:szCs w:val="18"/>
                <w:color w:val="auto"/>
                <w:vertAlign w:val="superscript"/>
              </w:rPr>
              <w:t>(1)</w:t>
            </w: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6,114</w:t>
            </w: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6,259</w:t>
            </w:r>
          </w:p>
        </w:tc>
        <w:tc>
          <w:tcPr>
            <w:tcW w:w="100" w:type="dxa"/>
            <w:vAlign w:val="bottom"/>
          </w:tcPr>
          <w:p>
            <w:pPr>
              <w:spacing w:after="0"/>
              <w:rPr>
                <w:sz w:val="14"/>
                <w:szCs w:val="14"/>
                <w:color w:val="auto"/>
              </w:rPr>
            </w:pPr>
          </w:p>
        </w:tc>
      </w:tr>
      <w:tr>
        <w:trPr>
          <w:trHeight w:val="155"/>
        </w:trPr>
        <w:tc>
          <w:tcPr>
            <w:tcW w:w="756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EBITDA</w:t>
            </w:r>
          </w:p>
        </w:tc>
        <w:tc>
          <w:tcPr>
            <w:tcW w:w="200" w:type="dxa"/>
            <w:vAlign w:val="bottom"/>
            <w:shd w:val="clear" w:color="auto" w:fill="CFF0FC"/>
          </w:tcPr>
          <w:p>
            <w:pPr>
              <w:spacing w:after="0"/>
              <w:rPr>
                <w:sz w:val="13"/>
                <w:szCs w:val="13"/>
                <w:color w:val="auto"/>
              </w:rPr>
            </w:pPr>
          </w:p>
        </w:tc>
        <w:tc>
          <w:tcPr>
            <w:tcW w:w="14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5,757</w:t>
            </w:r>
          </w:p>
        </w:tc>
        <w:tc>
          <w:tcPr>
            <w:tcW w:w="3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54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(7,817)</w:t>
            </w:r>
          </w:p>
        </w:tc>
      </w:tr>
      <w:tr>
        <w:trPr>
          <w:trHeight w:val="162"/>
        </w:trPr>
        <w:tc>
          <w:tcPr>
            <w:tcW w:w="7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7560" w:type="dxa"/>
            <w:vAlign w:val="bottom"/>
            <w:shd w:val="clear" w:color="auto" w:fill="CFF0FC"/>
          </w:tcPr>
          <w:p>
            <w:pPr>
              <w:spacing w:after="0" w:line="162" w:lineRule="exact"/>
              <w:rPr>
                <w:sz w:val="20"/>
                <w:szCs w:val="20"/>
                <w:color w:val="auto"/>
              </w:rPr>
            </w:pPr>
            <w:r>
              <w:rPr>
                <w:rFonts w:ascii="Arial" w:cs="Arial" w:eastAsia="Arial" w:hAnsi="Arial"/>
                <w:sz w:val="14"/>
                <w:szCs w:val="14"/>
                <w:color w:val="auto"/>
              </w:rPr>
              <w:t xml:space="preserve">Transition costs </w:t>
            </w:r>
            <w:r>
              <w:rPr>
                <w:rFonts w:ascii="Arial" w:cs="Arial" w:eastAsia="Arial" w:hAnsi="Arial"/>
                <w:sz w:val="18"/>
                <w:szCs w:val="18"/>
                <w:color w:val="auto"/>
                <w:vertAlign w:val="superscript"/>
              </w:rPr>
              <w:t>(2)</w:t>
            </w:r>
          </w:p>
        </w:tc>
        <w:tc>
          <w:tcPr>
            <w:tcW w:w="200" w:type="dxa"/>
            <w:vAlign w:val="bottom"/>
            <w:shd w:val="clear" w:color="auto" w:fill="CFF0FC"/>
          </w:tcPr>
          <w:p>
            <w:pPr>
              <w:spacing w:after="0"/>
              <w:rPr>
                <w:sz w:val="14"/>
                <w:szCs w:val="14"/>
                <w:color w:val="auto"/>
              </w:rPr>
            </w:pPr>
          </w:p>
        </w:tc>
        <w:tc>
          <w:tcPr>
            <w:tcW w:w="176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2,900</w:t>
            </w:r>
          </w:p>
        </w:tc>
        <w:tc>
          <w:tcPr>
            <w:tcW w:w="100" w:type="dxa"/>
            <w:vAlign w:val="bottom"/>
            <w:shd w:val="clear" w:color="auto" w:fill="CFF0FC"/>
          </w:tcPr>
          <w:p>
            <w:pPr>
              <w:spacing w:after="0"/>
              <w:rPr>
                <w:sz w:val="14"/>
                <w:szCs w:val="14"/>
                <w:color w:val="auto"/>
              </w:rPr>
            </w:pPr>
          </w:p>
        </w:tc>
      </w:tr>
      <w:tr>
        <w:trPr>
          <w:trHeight w:val="162"/>
        </w:trPr>
        <w:tc>
          <w:tcPr>
            <w:tcW w:w="7560" w:type="dxa"/>
            <w:vAlign w:val="bottom"/>
          </w:tcPr>
          <w:p>
            <w:pPr>
              <w:spacing w:after="0" w:line="162" w:lineRule="exact"/>
              <w:rPr>
                <w:sz w:val="20"/>
                <w:szCs w:val="20"/>
                <w:color w:val="auto"/>
              </w:rPr>
            </w:pPr>
            <w:r>
              <w:rPr>
                <w:rFonts w:ascii="Arial" w:cs="Arial" w:eastAsia="Arial" w:hAnsi="Arial"/>
                <w:sz w:val="14"/>
                <w:szCs w:val="14"/>
                <w:color w:val="auto"/>
              </w:rPr>
              <w:t xml:space="preserve">Gain on foreign currency transaction, net </w:t>
            </w:r>
            <w:r>
              <w:rPr>
                <w:rFonts w:ascii="Arial" w:cs="Arial" w:eastAsia="Arial" w:hAnsi="Arial"/>
                <w:sz w:val="18"/>
                <w:szCs w:val="18"/>
                <w:color w:val="auto"/>
                <w:vertAlign w:val="superscript"/>
              </w:rPr>
              <w:t>(3)</w:t>
            </w:r>
          </w:p>
        </w:tc>
        <w:tc>
          <w:tcPr>
            <w:tcW w:w="200" w:type="dxa"/>
            <w:vAlign w:val="bottom"/>
          </w:tcPr>
          <w:p>
            <w:pPr>
              <w:spacing w:after="0"/>
              <w:rPr>
                <w:sz w:val="14"/>
                <w:szCs w:val="14"/>
                <w:color w:val="auto"/>
              </w:rPr>
            </w:pPr>
          </w:p>
        </w:tc>
        <w:tc>
          <w:tcPr>
            <w:tcW w:w="1760" w:type="dxa"/>
            <w:vAlign w:val="bottom"/>
            <w:gridSpan w:val="2"/>
          </w:tcPr>
          <w:p>
            <w:pPr>
              <w:jc w:val="right"/>
              <w:ind w:right="260"/>
              <w:spacing w:after="0"/>
              <w:rPr>
                <w:sz w:val="20"/>
                <w:szCs w:val="20"/>
                <w:color w:val="auto"/>
              </w:rPr>
            </w:pPr>
            <w:r>
              <w:rPr>
                <w:rFonts w:ascii="Arial" w:cs="Arial" w:eastAsia="Arial" w:hAnsi="Arial"/>
                <w:sz w:val="14"/>
                <w:szCs w:val="14"/>
                <w:color w:val="auto"/>
              </w:rPr>
              <w:t>(1,775)</w:t>
            </w:r>
          </w:p>
        </w:tc>
        <w:tc>
          <w:tcPr>
            <w:tcW w:w="180" w:type="dxa"/>
            <w:vAlign w:val="bottom"/>
          </w:tcPr>
          <w:p>
            <w:pPr>
              <w:spacing w:after="0"/>
              <w:rPr>
                <w:sz w:val="14"/>
                <w:szCs w:val="14"/>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95"/>
        </w:trPr>
        <w:tc>
          <w:tcPr>
            <w:tcW w:w="756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Adjusted EBITDA</w:t>
            </w:r>
          </w:p>
        </w:tc>
        <w:tc>
          <w:tcPr>
            <w:tcW w:w="200" w:type="dxa"/>
            <w:vAlign w:val="bottom"/>
            <w:tcBorders>
              <w:top w:val="single" w:sz="8" w:color="auto"/>
              <w:bottom w:val="single" w:sz="8" w:color="auto"/>
            </w:tcBorders>
            <w:shd w:val="clear" w:color="auto" w:fill="CFF0FC"/>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3,982</w:t>
            </w:r>
          </w:p>
        </w:tc>
        <w:tc>
          <w:tcPr>
            <w:tcW w:w="30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(4,917)</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-24765</wp:posOffset>
            </wp:positionV>
            <wp:extent cx="7747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-7620</wp:posOffset>
            </wp:positionV>
            <wp:extent cx="7747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-136525</wp:posOffset>
            </wp:positionV>
            <wp:extent cx="7747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ind w:left="380" w:hanging="372"/>
        <w:spacing w:after="0" w:line="285" w:lineRule="auto"/>
        <w:tabs>
          <w:tab w:leader="none" w:pos="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Within this reconciliation, depreciation and amortization expense excludes the amortization of debt issuance costs, which are reflected in interest expense, net. However, within the accompanying Condensed Consolidated Statements of Cash Flows, amortization of debt issuance costs is reflected in depreciation and amortization expense.</w:t>
      </w:r>
    </w:p>
    <w:p>
      <w:pPr>
        <w:spacing w:after="0" w:line="49" w:lineRule="exact"/>
        <w:rPr>
          <w:rFonts w:ascii="Arial" w:cs="Arial" w:eastAsia="Arial" w:hAnsi="Arial"/>
          <w:sz w:val="14"/>
          <w:szCs w:val="14"/>
          <w:color w:val="auto"/>
        </w:rPr>
      </w:pPr>
    </w:p>
    <w:p>
      <w:pPr>
        <w:ind w:left="380" w:hanging="372"/>
        <w:spacing w:after="0"/>
        <w:tabs>
          <w:tab w:leader="none" w:pos="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 the third quarter of fiscal 2025, UNIFI incurred various transition costs totaling $2,900 in connection with the consolidation of its yarn manufacturing operations, including</w:t>
      </w:r>
    </w:p>
    <w:p>
      <w:pPr>
        <w:spacing w:after="0" w:line="15" w:lineRule="exact"/>
        <w:rPr>
          <w:rFonts w:ascii="Arial" w:cs="Arial" w:eastAsia="Arial" w:hAnsi="Arial"/>
          <w:sz w:val="14"/>
          <w:szCs w:val="14"/>
          <w:color w:val="auto"/>
        </w:rPr>
      </w:pPr>
    </w:p>
    <w:p>
      <w:pPr>
        <w:jc w:val="both"/>
        <w:ind w:left="380" w:firstLine="2"/>
        <w:spacing w:after="0" w:line="252" w:lineRule="auto"/>
        <w:tabs>
          <w:tab w:leader="none" w:pos="552" w:val="left"/>
        </w:tabs>
        <w:numPr>
          <w:ilvl w:val="1"/>
          <w:numId w:val="9"/>
        </w:numPr>
        <w:rPr>
          <w:rFonts w:ascii="Arial" w:cs="Arial" w:eastAsia="Arial" w:hAnsi="Arial"/>
          <w:sz w:val="14"/>
          <w:szCs w:val="14"/>
          <w:color w:val="auto"/>
        </w:rPr>
      </w:pPr>
      <w:r>
        <w:rPr>
          <w:rFonts w:ascii="Arial" w:cs="Arial" w:eastAsia="Arial" w:hAnsi="Arial"/>
          <w:sz w:val="14"/>
          <w:szCs w:val="14"/>
          <w:color w:val="auto"/>
        </w:rPr>
        <w:t>facility closure and equipment relocation costs of $1,088, (ii) inventory write-downs of $1,000, (iii) excess manufacturing costs of $580, and (iv) employee separation or retention costs of $232. The facility closure, equipment relocation, employee separation and retention costs were all recorded within Restructuring costs and the inventory write-downs and excess manufacturing costs were recorded within Cost of sales in the Condensed Consolidated Statements of Operations.</w:t>
      </w:r>
    </w:p>
    <w:p>
      <w:pPr>
        <w:spacing w:after="0" w:line="72" w:lineRule="exact"/>
        <w:rPr>
          <w:rFonts w:ascii="Arial" w:cs="Arial" w:eastAsia="Arial" w:hAnsi="Arial"/>
          <w:sz w:val="14"/>
          <w:szCs w:val="14"/>
          <w:color w:val="auto"/>
        </w:rPr>
      </w:pPr>
    </w:p>
    <w:p>
      <w:pPr>
        <w:jc w:val="both"/>
        <w:ind w:left="380" w:hanging="372"/>
        <w:spacing w:after="0" w:line="263" w:lineRule="auto"/>
        <w:tabs>
          <w:tab w:leader="none" w:pos="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 the third quarter of fiscal 2026, UNIFI recorded a foreign currency gain of $1,775. In December 2025, Brazil declared dividends against the majority of its retained earnings in connection with certain tax law changes related to future dividends. Foreign currency transaction gains (losses) are recorded to reflect changes in the exchange rate of the Brazilian Real to the U.S. Dollar while the dividend payable is outstanding.</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8"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i w:val="1"/>
          <w:iCs w:val="1"/>
          <w:u w:val="single" w:color="auto"/>
          <w:color w:val="auto"/>
        </w:rPr>
        <w:t>Adjusted Net Loss and Adjusted EPS (Non-GAAP Financial Measures)</w:t>
      </w:r>
    </w:p>
    <w:p>
      <w:pPr>
        <w:spacing w:after="0" w:line="107" w:lineRule="exact"/>
        <w:rPr>
          <w:sz w:val="20"/>
          <w:szCs w:val="20"/>
          <w:color w:val="auto"/>
        </w:rPr>
      </w:pPr>
    </w:p>
    <w:p>
      <w:pPr>
        <w:spacing w:after="0" w:line="285" w:lineRule="auto"/>
        <w:rPr>
          <w:sz w:val="20"/>
          <w:szCs w:val="20"/>
          <w:color w:val="auto"/>
        </w:rPr>
      </w:pPr>
      <w:r>
        <w:rPr>
          <w:rFonts w:ascii="Arial" w:cs="Arial" w:eastAsia="Arial" w:hAnsi="Arial"/>
          <w:sz w:val="14"/>
          <w:szCs w:val="14"/>
          <w:color w:val="auto"/>
        </w:rPr>
        <w:t>The tables below set forth reconciliations of (i) Loss before income taxes (“Pre-tax Loss”), (ii) Provision for income taxes (“Tax Impact”), (iii) Net Loss to Adjusted Net Loss, and (iv) Diluted EPS to Adjusted EPS.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40" w:type="dxa"/>
            <w:vAlign w:val="bottom"/>
            <w:gridSpan w:val="14"/>
          </w:tcPr>
          <w:p>
            <w:pPr>
              <w:jc w:val="right"/>
              <w:ind w:right="420"/>
              <w:spacing w:after="0"/>
              <w:rPr>
                <w:sz w:val="20"/>
                <w:szCs w:val="20"/>
                <w:color w:val="auto"/>
              </w:rPr>
            </w:pPr>
            <w:r>
              <w:rPr>
                <w:rFonts w:ascii="Arial" w:cs="Arial" w:eastAsia="Arial" w:hAnsi="Arial"/>
                <w:sz w:val="14"/>
                <w:szCs w:val="14"/>
                <w:b w:val="1"/>
                <w:bCs w:val="1"/>
                <w:color w:val="auto"/>
              </w:rPr>
              <w:t>For the Three Months Ended March 29, 2026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500" w:type="dxa"/>
            <w:vAlign w:val="bottom"/>
            <w:gridSpan w:val="14"/>
          </w:tcPr>
          <w:p>
            <w:pPr>
              <w:jc w:val="right"/>
              <w:ind w:right="340"/>
              <w:spacing w:after="0"/>
              <w:rPr>
                <w:sz w:val="20"/>
                <w:szCs w:val="20"/>
                <w:color w:val="auto"/>
              </w:rPr>
            </w:pPr>
            <w:r>
              <w:rPr>
                <w:rFonts w:ascii="Arial" w:cs="Arial" w:eastAsia="Arial" w:hAnsi="Arial"/>
                <w:sz w:val="14"/>
                <w:szCs w:val="14"/>
                <w:b w:val="1"/>
                <w:bCs w:val="1"/>
                <w:color w:val="auto"/>
              </w:rPr>
              <w:t>For the Three Months Ended March 30, 2025</w:t>
            </w:r>
          </w:p>
        </w:tc>
      </w:tr>
      <w:tr>
        <w:trPr>
          <w:trHeight w:val="146"/>
        </w:trPr>
        <w:tc>
          <w:tcPr>
            <w:tcW w:w="3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208"/>
              <w:spacing w:after="0" w:line="147" w:lineRule="exact"/>
              <w:rPr>
                <w:sz w:val="20"/>
                <w:szCs w:val="20"/>
                <w:color w:val="auto"/>
              </w:rPr>
            </w:pPr>
            <w:r>
              <w:rPr>
                <w:rFonts w:ascii="Arial" w:cs="Arial" w:eastAsia="Arial" w:hAnsi="Arial"/>
                <w:sz w:val="14"/>
                <w:szCs w:val="14"/>
                <w:b w:val="1"/>
                <w:bCs w:val="1"/>
                <w:color w:val="auto"/>
              </w:rPr>
              <w:t>Pre-tax</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420"/>
              <w:spacing w:after="0" w:line="147" w:lineRule="exact"/>
              <w:rPr>
                <w:sz w:val="20"/>
                <w:szCs w:val="20"/>
                <w:color w:val="auto"/>
              </w:rPr>
            </w:pPr>
            <w:r>
              <w:rPr>
                <w:rFonts w:ascii="Arial" w:cs="Arial" w:eastAsia="Arial" w:hAnsi="Arial"/>
                <w:sz w:val="14"/>
                <w:szCs w:val="14"/>
                <w:b w:val="1"/>
                <w:bCs w:val="1"/>
                <w:color w:val="auto"/>
              </w:rPr>
              <w:t>Tax</w:t>
            </w: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48"/>
              <w:spacing w:after="0" w:line="147" w:lineRule="exact"/>
              <w:rPr>
                <w:sz w:val="20"/>
                <w:szCs w:val="20"/>
                <w:color w:val="auto"/>
              </w:rPr>
            </w:pPr>
            <w:r>
              <w:rPr>
                <w:rFonts w:ascii="Arial" w:cs="Arial" w:eastAsia="Arial" w:hAnsi="Arial"/>
                <w:sz w:val="14"/>
                <w:szCs w:val="14"/>
                <w:b w:val="1"/>
                <w:bCs w:val="1"/>
                <w:color w:val="auto"/>
              </w:rPr>
              <w:t>Diluted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188"/>
              <w:spacing w:after="0" w:line="147" w:lineRule="exact"/>
              <w:rPr>
                <w:sz w:val="20"/>
                <w:szCs w:val="20"/>
                <w:color w:val="auto"/>
              </w:rPr>
            </w:pPr>
            <w:r>
              <w:rPr>
                <w:rFonts w:ascii="Arial" w:cs="Arial" w:eastAsia="Arial" w:hAnsi="Arial"/>
                <w:sz w:val="14"/>
                <w:szCs w:val="14"/>
                <w:b w:val="1"/>
                <w:bCs w:val="1"/>
                <w:color w:val="auto"/>
              </w:rPr>
              <w:t>Pre-tax</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400"/>
              <w:spacing w:after="0" w:line="147" w:lineRule="exact"/>
              <w:rPr>
                <w:sz w:val="20"/>
                <w:szCs w:val="20"/>
                <w:color w:val="auto"/>
              </w:rPr>
            </w:pPr>
            <w:r>
              <w:rPr>
                <w:rFonts w:ascii="Arial" w:cs="Arial" w:eastAsia="Arial" w:hAnsi="Arial"/>
                <w:sz w:val="14"/>
                <w:szCs w:val="14"/>
                <w:b w:val="1"/>
                <w:bCs w:val="1"/>
                <w:color w:val="auto"/>
              </w:rPr>
              <w:t>Tax</w:t>
            </w: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68"/>
              <w:spacing w:after="0" w:line="147" w:lineRule="exact"/>
              <w:rPr>
                <w:sz w:val="20"/>
                <w:szCs w:val="20"/>
                <w:color w:val="auto"/>
              </w:rPr>
            </w:pPr>
            <w:r>
              <w:rPr>
                <w:rFonts w:ascii="Arial" w:cs="Arial" w:eastAsia="Arial" w:hAnsi="Arial"/>
                <w:sz w:val="14"/>
                <w:szCs w:val="14"/>
                <w:b w:val="1"/>
                <w:bCs w:val="1"/>
                <w:color w:val="auto"/>
              </w:rPr>
              <w:t>Diluted</w:t>
            </w:r>
          </w:p>
        </w:tc>
        <w:tc>
          <w:tcPr>
            <w:tcW w:w="100" w:type="dxa"/>
            <w:vAlign w:val="bottom"/>
          </w:tcPr>
          <w:p>
            <w:pPr>
              <w:spacing w:after="0"/>
              <w:rPr>
                <w:sz w:val="12"/>
                <w:szCs w:val="12"/>
                <w:color w:val="auto"/>
              </w:rPr>
            </w:pPr>
          </w:p>
        </w:tc>
      </w:tr>
      <w:tr>
        <w:trPr>
          <w:trHeight w:val="171"/>
        </w:trPr>
        <w:tc>
          <w:tcPr>
            <w:tcW w:w="3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Loss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Impact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Net Loss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EPS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Loss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Impact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Net Loss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EPS</w:t>
            </w:r>
          </w:p>
        </w:tc>
        <w:tc>
          <w:tcPr>
            <w:tcW w:w="100" w:type="dxa"/>
            <w:vAlign w:val="bottom"/>
          </w:tcPr>
          <w:p>
            <w:pPr>
              <w:spacing w:after="0"/>
              <w:rPr>
                <w:sz w:val="14"/>
                <w:szCs w:val="14"/>
                <w:color w:val="auto"/>
              </w:rPr>
            </w:pPr>
          </w:p>
        </w:tc>
      </w:tr>
      <w:tr>
        <w:trPr>
          <w:trHeight w:val="155"/>
        </w:trPr>
        <w:tc>
          <w:tcPr>
            <w:tcW w:w="344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GAAP results</w:t>
            </w:r>
          </w:p>
        </w:tc>
        <w:tc>
          <w:tcPr>
            <w:tcW w:w="50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(1,470)</w:t>
            </w:r>
          </w:p>
        </w:tc>
        <w:tc>
          <w:tcPr>
            <w:tcW w:w="22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FF0FC"/>
          </w:tcPr>
          <w:p>
            <w:pPr>
              <w:jc w:val="right"/>
              <w:ind w:right="100"/>
              <w:spacing w:after="0" w:line="155" w:lineRule="exact"/>
              <w:rPr>
                <w:sz w:val="20"/>
                <w:szCs w:val="20"/>
                <w:color w:val="auto"/>
              </w:rPr>
            </w:pPr>
            <w:r>
              <w:rPr>
                <w:rFonts w:ascii="Arial" w:cs="Arial" w:eastAsia="Arial" w:hAnsi="Arial"/>
                <w:sz w:val="14"/>
                <w:szCs w:val="14"/>
                <w:color w:val="auto"/>
              </w:rPr>
              <w:t>(836)</w:t>
            </w:r>
          </w:p>
        </w:tc>
        <w:tc>
          <w:tcPr>
            <w:tcW w:w="300" w:type="dxa"/>
            <w:vAlign w:val="bottom"/>
            <w:gridSpan w:val="2"/>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(2,306)</w:t>
            </w:r>
          </w:p>
        </w:tc>
        <w:tc>
          <w:tcPr>
            <w:tcW w:w="16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(0.12)</w:t>
            </w:r>
          </w:p>
        </w:tc>
        <w:tc>
          <w:tcPr>
            <w:tcW w:w="16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(16,295)</w:t>
            </w:r>
          </w:p>
        </w:tc>
        <w:tc>
          <w:tcPr>
            <w:tcW w:w="18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(499)</w:t>
            </w:r>
          </w:p>
        </w:tc>
        <w:tc>
          <w:tcPr>
            <w:tcW w:w="22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FF0FC"/>
          </w:tcPr>
          <w:p>
            <w:pPr>
              <w:jc w:val="right"/>
              <w:ind w:right="59"/>
              <w:spacing w:after="0" w:line="155" w:lineRule="exact"/>
              <w:rPr>
                <w:sz w:val="20"/>
                <w:szCs w:val="20"/>
                <w:color w:val="auto"/>
              </w:rPr>
            </w:pPr>
            <w:r>
              <w:rPr>
                <w:rFonts w:ascii="Arial" w:cs="Arial" w:eastAsia="Arial" w:hAnsi="Arial"/>
                <w:sz w:val="14"/>
                <w:szCs w:val="14"/>
                <w:color w:val="auto"/>
              </w:rPr>
              <w:t>(16,794)</w:t>
            </w:r>
          </w:p>
        </w:tc>
        <w:tc>
          <w:tcPr>
            <w:tcW w:w="16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(0.92)</w:t>
            </w:r>
          </w:p>
        </w:tc>
      </w:tr>
      <w:tr>
        <w:trPr>
          <w:trHeight w:val="162"/>
        </w:trPr>
        <w:tc>
          <w:tcPr>
            <w:tcW w:w="3440" w:type="dxa"/>
            <w:vAlign w:val="bottom"/>
          </w:tcPr>
          <w:p>
            <w:pPr>
              <w:spacing w:after="0" w:line="162" w:lineRule="exact"/>
              <w:rPr>
                <w:sz w:val="20"/>
                <w:szCs w:val="20"/>
                <w:color w:val="auto"/>
              </w:rPr>
            </w:pPr>
            <w:r>
              <w:rPr>
                <w:rFonts w:ascii="Arial" w:cs="Arial" w:eastAsia="Arial" w:hAnsi="Arial"/>
                <w:sz w:val="14"/>
                <w:szCs w:val="14"/>
                <w:color w:val="auto"/>
              </w:rPr>
              <w:t xml:space="preserve">Transition costs </w:t>
            </w:r>
            <w:r>
              <w:rPr>
                <w:rFonts w:ascii="Arial" w:cs="Arial" w:eastAsia="Arial" w:hAnsi="Arial"/>
                <w:sz w:val="18"/>
                <w:szCs w:val="18"/>
                <w:color w:val="auto"/>
                <w:vertAlign w:val="superscript"/>
              </w:rPr>
              <w:t>(1)</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2,900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2,900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0.16</w:t>
            </w:r>
          </w:p>
        </w:tc>
        <w:tc>
          <w:tcPr>
            <w:tcW w:w="100" w:type="dxa"/>
            <w:vAlign w:val="bottom"/>
          </w:tcPr>
          <w:p>
            <w:pPr>
              <w:spacing w:after="0"/>
              <w:rPr>
                <w:sz w:val="14"/>
                <w:szCs w:val="14"/>
                <w:color w:val="auto"/>
              </w:rPr>
            </w:pPr>
          </w:p>
        </w:tc>
      </w:tr>
      <w:tr>
        <w:trPr>
          <w:trHeight w:val="162"/>
        </w:trPr>
        <w:tc>
          <w:tcPr>
            <w:tcW w:w="3440" w:type="dxa"/>
            <w:vAlign w:val="bottom"/>
            <w:shd w:val="clear" w:color="auto" w:fill="CFF0FC"/>
          </w:tcPr>
          <w:p>
            <w:pPr>
              <w:spacing w:after="0" w:line="162" w:lineRule="exact"/>
              <w:rPr>
                <w:sz w:val="20"/>
                <w:szCs w:val="20"/>
                <w:color w:val="auto"/>
              </w:rPr>
            </w:pPr>
            <w:r>
              <w:rPr>
                <w:rFonts w:ascii="Arial" w:cs="Arial" w:eastAsia="Arial" w:hAnsi="Arial"/>
                <w:sz w:val="14"/>
                <w:szCs w:val="14"/>
                <w:color w:val="auto"/>
              </w:rPr>
              <w:t xml:space="preserve">Gain on foreign currency transaction, net </w:t>
            </w:r>
            <w:r>
              <w:rPr>
                <w:rFonts w:ascii="Arial" w:cs="Arial" w:eastAsia="Arial" w:hAnsi="Arial"/>
                <w:sz w:val="18"/>
                <w:szCs w:val="18"/>
                <w:color w:val="auto"/>
                <w:vertAlign w:val="superscript"/>
              </w:rPr>
              <w:t>(2)</w:t>
            </w:r>
          </w:p>
        </w:tc>
        <w:tc>
          <w:tcPr>
            <w:tcW w:w="4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(1,775)</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272</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(1,503)</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(0.08)</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56"/>
        </w:trPr>
        <w:tc>
          <w:tcPr>
            <w:tcW w:w="3440" w:type="dxa"/>
            <w:vAlign w:val="bottom"/>
          </w:tcPr>
          <w:p>
            <w:pPr>
              <w:spacing w:after="0" w:line="155" w:lineRule="exact"/>
              <w:rPr>
                <w:sz w:val="20"/>
                <w:szCs w:val="20"/>
                <w:color w:val="auto"/>
              </w:rPr>
            </w:pPr>
            <w:r>
              <w:rPr>
                <w:rFonts w:ascii="Arial" w:cs="Arial" w:eastAsia="Arial" w:hAnsi="Arial"/>
                <w:sz w:val="14"/>
                <w:szCs w:val="14"/>
                <w:color w:val="auto"/>
              </w:rPr>
              <w:t>Adjusted results</w:t>
            </w:r>
          </w:p>
        </w:tc>
        <w:tc>
          <w:tcPr>
            <w:tcW w:w="4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(3,245</w:t>
            </w:r>
          </w:p>
        </w:tc>
        <w:tc>
          <w:tcPr>
            <w:tcW w:w="140" w:type="dxa"/>
            <w:vAlign w:val="bottom"/>
          </w:tcPr>
          <w:p>
            <w:pPr>
              <w:jc w:val="right"/>
              <w:ind w:right="8"/>
              <w:spacing w:after="0" w:line="149" w:lineRule="exact"/>
              <w:rPr>
                <w:sz w:val="20"/>
                <w:szCs w:val="20"/>
                <w:color w:val="auto"/>
              </w:rPr>
            </w:pPr>
            <w:r>
              <w:rPr>
                <w:rFonts w:ascii="Arial" w:cs="Arial" w:eastAsia="Arial" w:hAnsi="Arial"/>
                <w:sz w:val="14"/>
                <w:szCs w:val="14"/>
                <w:color w:val="auto"/>
                <w:w w:val="84"/>
              </w:rPr>
              <w:t>)</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(564)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(3,809</w:t>
            </w:r>
          </w:p>
        </w:tc>
        <w:tc>
          <w:tcPr>
            <w:tcW w:w="140" w:type="dxa"/>
            <w:vAlign w:val="bottom"/>
          </w:tcPr>
          <w:p>
            <w:pPr>
              <w:jc w:val="right"/>
              <w:ind w:right="8"/>
              <w:spacing w:after="0" w:line="149" w:lineRule="exact"/>
              <w:rPr>
                <w:sz w:val="20"/>
                <w:szCs w:val="20"/>
                <w:color w:val="auto"/>
              </w:rPr>
            </w:pPr>
            <w:r>
              <w:rPr>
                <w:rFonts w:ascii="Arial" w:cs="Arial" w:eastAsia="Arial" w:hAnsi="Arial"/>
                <w:sz w:val="14"/>
                <w:szCs w:val="14"/>
                <w:color w:val="auto"/>
                <w:w w:val="84"/>
              </w:rPr>
              <w:t>)</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(0.20)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(13,395</w:t>
            </w:r>
          </w:p>
        </w:tc>
        <w:tc>
          <w:tcPr>
            <w:tcW w:w="140" w:type="dxa"/>
            <w:vAlign w:val="bottom"/>
          </w:tcPr>
          <w:p>
            <w:pPr>
              <w:jc w:val="right"/>
              <w:ind w:right="8"/>
              <w:spacing w:after="0" w:line="149" w:lineRule="exact"/>
              <w:rPr>
                <w:sz w:val="20"/>
                <w:szCs w:val="20"/>
                <w:color w:val="auto"/>
              </w:rPr>
            </w:pPr>
            <w:r>
              <w:rPr>
                <w:rFonts w:ascii="Arial" w:cs="Arial" w:eastAsia="Arial" w:hAnsi="Arial"/>
                <w:sz w:val="14"/>
                <w:szCs w:val="14"/>
                <w:color w:val="auto"/>
                <w:w w:val="84"/>
              </w:rPr>
              <w:t>)</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(499)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(13,894</w:t>
            </w:r>
          </w:p>
        </w:tc>
        <w:tc>
          <w:tcPr>
            <w:tcW w:w="140" w:type="dxa"/>
            <w:vAlign w:val="bottom"/>
          </w:tcPr>
          <w:p>
            <w:pPr>
              <w:jc w:val="right"/>
              <w:ind w:right="59"/>
              <w:spacing w:after="0"/>
              <w:rPr>
                <w:sz w:val="20"/>
                <w:szCs w:val="20"/>
                <w:color w:val="auto"/>
              </w:rPr>
            </w:pPr>
            <w:r>
              <w:rPr>
                <w:rFonts w:ascii="Arial" w:cs="Arial" w:eastAsia="Arial" w:hAnsi="Arial"/>
                <w:sz w:val="8"/>
                <w:szCs w:val="8"/>
                <w:color w:val="auto"/>
                <w:w w:val="73"/>
              </w:rPr>
              <w:t>)</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(0.76)</w:t>
            </w:r>
          </w:p>
        </w:tc>
        <w:tc>
          <w:tcPr>
            <w:tcW w:w="100" w:type="dxa"/>
            <w:vAlign w:val="bottom"/>
          </w:tcPr>
          <w:p>
            <w:pPr>
              <w:spacing w:after="0"/>
              <w:rPr>
                <w:sz w:val="13"/>
                <w:szCs w:val="13"/>
                <w:color w:val="auto"/>
              </w:rPr>
            </w:pPr>
          </w:p>
        </w:tc>
      </w:tr>
      <w:tr>
        <w:trPr>
          <w:trHeight w:val="20"/>
        </w:trPr>
        <w:tc>
          <w:tcPr>
            <w:tcW w:w="3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34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90"/>
        </w:trPr>
        <w:tc>
          <w:tcPr>
            <w:tcW w:w="3440" w:type="dxa"/>
            <w:vAlign w:val="bottom"/>
          </w:tcPr>
          <w:p>
            <w:pPr>
              <w:spacing w:after="0"/>
              <w:rPr>
                <w:sz w:val="20"/>
                <w:szCs w:val="20"/>
                <w:color w:val="auto"/>
              </w:rPr>
            </w:pPr>
            <w:r>
              <w:rPr>
                <w:rFonts w:ascii="Arial" w:cs="Arial" w:eastAsia="Arial" w:hAnsi="Arial"/>
                <w:sz w:val="14"/>
                <w:szCs w:val="14"/>
                <w:color w:val="auto"/>
              </w:rPr>
              <w:t>Weighted average common shares outstanding</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18,584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18,352</w:t>
            </w:r>
          </w:p>
        </w:tc>
        <w:tc>
          <w:tcPr>
            <w:tcW w:w="100" w:type="dxa"/>
            <w:vAlign w:val="bottom"/>
          </w:tcPr>
          <w:p>
            <w:pPr>
              <w:spacing w:after="0"/>
              <w:rPr>
                <w:sz w:val="16"/>
                <w:szCs w:val="16"/>
                <w:color w:val="auto"/>
              </w:rPr>
            </w:pPr>
          </w:p>
        </w:tc>
      </w:tr>
    </w:tbl>
    <w:p>
      <w:pPr>
        <w:spacing w:after="0" w:line="179" w:lineRule="exact"/>
        <w:rPr>
          <w:sz w:val="20"/>
          <w:szCs w:val="20"/>
          <w:color w:val="auto"/>
        </w:rPr>
      </w:pPr>
    </w:p>
    <w:p>
      <w:pPr>
        <w:ind w:left="380" w:hanging="372"/>
        <w:spacing w:after="0"/>
        <w:tabs>
          <w:tab w:leader="none" w:pos="3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 the third quarter of fiscal 2025, UNIFI incurred various transition costs totaling $2,900 in connection with the consolidation of its yarn manufacturing operations including</w:t>
      </w:r>
    </w:p>
    <w:p>
      <w:pPr>
        <w:spacing w:after="0" w:line="15" w:lineRule="exact"/>
        <w:rPr>
          <w:rFonts w:ascii="Arial" w:cs="Arial" w:eastAsia="Arial" w:hAnsi="Arial"/>
          <w:sz w:val="14"/>
          <w:szCs w:val="14"/>
          <w:color w:val="auto"/>
        </w:rPr>
      </w:pPr>
    </w:p>
    <w:p>
      <w:pPr>
        <w:jc w:val="both"/>
        <w:ind w:left="380" w:firstLine="2"/>
        <w:spacing w:after="0" w:line="249" w:lineRule="auto"/>
        <w:tabs>
          <w:tab w:leader="none" w:pos="552" w:val="left"/>
        </w:tabs>
        <w:numPr>
          <w:ilvl w:val="1"/>
          <w:numId w:val="10"/>
        </w:numPr>
        <w:rPr>
          <w:rFonts w:ascii="Arial" w:cs="Arial" w:eastAsia="Arial" w:hAnsi="Arial"/>
          <w:sz w:val="14"/>
          <w:szCs w:val="14"/>
          <w:color w:val="auto"/>
        </w:rPr>
      </w:pPr>
      <w:r>
        <w:rPr>
          <w:rFonts w:ascii="Arial" w:cs="Arial" w:eastAsia="Arial" w:hAnsi="Arial"/>
          <w:sz w:val="14"/>
          <w:szCs w:val="14"/>
          <w:color w:val="auto"/>
        </w:rPr>
        <w:t>facility closure and equipment relocation costs of $1,088, (ii) inventory write-downs of $1,000, (iii) excess manufacturing costs of $580, and (iv) employee separation or retention costs of $232. The facility closure, equipment relocation, employee separation and retention costs were all recorded within Restructuring costs and the inventory write-downs and excess manufacturing costs were recorded within Cost of sales in the Condensed Consolidated Statements of Operations. The associated tax impact was estimated to be $0 due to a valuation allowance against net operating losses in the U.S.</w:t>
      </w:r>
    </w:p>
    <w:p>
      <w:pPr>
        <w:spacing w:after="0" w:line="73" w:lineRule="exact"/>
        <w:rPr>
          <w:rFonts w:ascii="Arial" w:cs="Arial" w:eastAsia="Arial" w:hAnsi="Arial"/>
          <w:sz w:val="14"/>
          <w:szCs w:val="14"/>
          <w:color w:val="auto"/>
        </w:rPr>
      </w:pPr>
    </w:p>
    <w:p>
      <w:pPr>
        <w:jc w:val="both"/>
        <w:ind w:left="380" w:hanging="372"/>
        <w:spacing w:after="0" w:line="256" w:lineRule="auto"/>
        <w:tabs>
          <w:tab w:leader="none" w:pos="3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 the third quarter of fiscal 2026, UNIFI recorded a foreign currency gain of $1,775. In December 2025, Brazil declared dividends against the majority of its retained earnings in connection with certain tax law changes related to future dividends. Foreign currency transaction gains (losses) are recorded to reflect changes in the exchange rate of the Brazilian Real to the U.S. Dollar while the dividend payable is outstanding. The associated tax impact was estimated to be $272, based on the estimated annual tax rate for the period.</w:t>
      </w: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Sales</w:t>
      </w:r>
    </w:p>
    <w:p>
      <w:pPr>
        <w:spacing w:after="0" w:line="107"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Consolidated net sales for the current period decreased by $16,520, or 11.3%, and consolidated sales volumes decreased 7.7% as customers reduced inventories, which led to lower demand for UNIFI products, compared to the prior period. Net sales in the current period were lower primarily due to (i) lower sales volumes and lower-priced sales mix in the Asia Segment and (ii) lower sales volumes in the Americas Segment. These were partially offset by higher sales volumes in the Brazil Segment, partially offset by import pricing pressures. Overall sales remain depressed, particularly in the Americas and Asia Segments as a result of uncertainty over ongoing geopolitical events, global trade policies, and competition from lower-priced products.</w:t>
      </w:r>
    </w:p>
    <w:p>
      <w:pPr>
        <w:spacing w:after="0" w:line="181"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Consolidated weighted average sales prices decreased 3.6%. The decrease in sales prices was primarily attributable to sales mix and lower average selling prices in the Americas and Brazil Segments.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REPREVE</w:t>
      </w:r>
      <w:r>
        <w:rPr>
          <w:rFonts w:ascii="Arial" w:cs="Arial" w:eastAsia="Arial" w:hAnsi="Arial"/>
          <w:sz w:val="19"/>
          <w:szCs w:val="19"/>
          <w:color w:val="auto"/>
          <w:vertAlign w:val="superscript"/>
        </w:rPr>
        <w:t>®</w:t>
      </w:r>
      <w:r>
        <w:rPr>
          <w:rFonts w:ascii="Arial" w:cs="Arial" w:eastAsia="Arial" w:hAnsi="Arial"/>
          <w:sz w:val="14"/>
          <w:szCs w:val="14"/>
          <w:color w:val="auto"/>
        </w:rPr>
        <w:t xml:space="preserve"> Fiber products for the current period comprised 29%, or $38,249, of consolidated net sales, compared to 31%, or $44,699, for the prior period.</w:t>
      </w: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Gross Profit (Loss)</w:t>
      </w:r>
    </w:p>
    <w:p>
      <w:pPr>
        <w:spacing w:after="0" w:line="107"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Gross profit for the current period increased to $9,117 from $(445) in the prior period. Gross profit increased primarily due to (i) variable cost-saving initiatives and (ii) improved utilization in certain manufacturing areas, partially offset by lower sales volumes due to volatility primarily from the ongoing geopolitical events. Gross profit was unfavorably impacted by demand volatility in the Americas Segment and import pricing pressures in the Brazil Segment.</w:t>
      </w:r>
    </w:p>
    <w:p>
      <w:pPr>
        <w:spacing w:after="0" w:line="105" w:lineRule="exact"/>
        <w:rPr>
          <w:sz w:val="20"/>
          <w:szCs w:val="20"/>
          <w:color w:val="auto"/>
        </w:rPr>
      </w:pPr>
    </w:p>
    <w:p>
      <w:pPr>
        <w:ind w:left="760" w:hanging="378"/>
        <w:spacing w:after="0" w:line="284" w:lineRule="auto"/>
        <w:tabs>
          <w:tab w:leader="none" w:pos="760" w:val="left"/>
        </w:tabs>
        <w:numPr>
          <w:ilvl w:val="0"/>
          <w:numId w:val="11"/>
        </w:numPr>
        <w:rPr>
          <w:rFonts w:ascii="Times New Roman" w:cs="Times New Roman" w:eastAsia="Times New Roman" w:hAnsi="Times New Roman"/>
          <w:sz w:val="14"/>
          <w:szCs w:val="14"/>
          <w:color w:val="auto"/>
        </w:rPr>
      </w:pPr>
      <w:r>
        <w:rPr>
          <w:rFonts w:ascii="Arial" w:cs="Arial" w:eastAsia="Arial" w:hAnsi="Arial"/>
          <w:sz w:val="14"/>
          <w:szCs w:val="14"/>
          <w:color w:val="auto"/>
        </w:rPr>
        <w:t>Americas Segment gross profit increased primarily due to variable cost-saving initiatives and improved manufacturing utilization, partially offset by (a) demand volatility stemming from geopolitical events and inventory management efforts by customers and (b) a weaker sales mix.</w:t>
      </w:r>
    </w:p>
    <w:p>
      <w:pPr>
        <w:spacing w:after="0" w:line="77"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11"/>
        </w:numPr>
        <w:rPr>
          <w:rFonts w:ascii="Times New Roman" w:cs="Times New Roman" w:eastAsia="Times New Roman" w:hAnsi="Times New Roman"/>
          <w:sz w:val="14"/>
          <w:szCs w:val="14"/>
          <w:color w:val="auto"/>
        </w:rPr>
      </w:pPr>
      <w:r>
        <w:rPr>
          <w:rFonts w:ascii="Arial" w:cs="Arial" w:eastAsia="Arial" w:hAnsi="Arial"/>
          <w:sz w:val="14"/>
          <w:szCs w:val="14"/>
          <w:color w:val="auto"/>
        </w:rPr>
        <w:t>Brazil Segment gross profit decreased primarily due to competitive import pricing pressures, partially offset by higher sales volumes.</w:t>
      </w:r>
    </w:p>
    <w:p>
      <w:pPr>
        <w:spacing w:after="0" w:line="148"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11"/>
        </w:numPr>
        <w:rPr>
          <w:rFonts w:ascii="Times New Roman" w:cs="Times New Roman" w:eastAsia="Times New Roman" w:hAnsi="Times New Roman"/>
          <w:sz w:val="14"/>
          <w:szCs w:val="14"/>
          <w:color w:val="auto"/>
        </w:rPr>
      </w:pPr>
      <w:r>
        <w:rPr>
          <w:rFonts w:ascii="Arial" w:cs="Arial" w:eastAsia="Arial" w:hAnsi="Arial"/>
          <w:sz w:val="14"/>
          <w:szCs w:val="14"/>
          <w:color w:val="auto"/>
        </w:rPr>
        <w:t>Asia Segment gross profit decreased primarily due to lower sales volumes and a lower-priced sales mix.</w:t>
      </w:r>
    </w:p>
    <w:p>
      <w:pPr>
        <w:spacing w:after="0" w:line="32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SG&amp;A</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SG&amp;A decreased from the prior period to the current period, primarily due to the actions taken as part of the Fiscal 2026 Profit Improvement Plan.</w:t>
      </w: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Benefit for Bad Debts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The current period and prior period provision reflect no material activity.</w:t>
      </w: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Restructuring Costs, Net</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On February 3, 2025, UNIFI announced the closing of its Madison, North Carolina facility and the transition of those manufacturing operations to other UNIFI production facilities in North and Central America. As a result, UNIFI incurred restructuring costs of $1,320 in the prior period which consisted of (i) equipment relocation and facility closure costs of $1,088 and (ii) employee separation or retention costs of $232.</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0"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b w:val="1"/>
          <w:bCs w:val="1"/>
          <w:i w:val="1"/>
          <w:iCs w:val="1"/>
          <w:color w:val="auto"/>
        </w:rPr>
        <w:t>Other Operating (Income) Expense, Net</w:t>
      </w:r>
    </w:p>
    <w:p>
      <w:pPr>
        <w:spacing w:after="0" w:line="107"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Other operating (income) expense, net for the current period and the prior period included foreign currency transaction gains of $1,704 and $50, respectively, with no other meaningful activity. In December 2025, Brazil declared dividends against the majority of its retained earnings in connection with certain tax law changes related to future dividends. Foreign currency transaction gains (losses) are recorded to reflect changes in the exchange rate of the Brazilian Real to the U.S. Dollar while the dividend payable is outstanding.</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 Expense, Net</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Interest expense, net decreased in connection with lower average debt principal and lower average interest rates.</w:t>
      </w: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Equity in Loss of Unconsolidated Affiliate</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There was no material activity for the current period or the prior period.</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460" w:type="dxa"/>
            <w:vAlign w:val="bottom"/>
          </w:tcPr>
          <w:p>
            <w:pPr>
              <w:spacing w:after="0"/>
              <w:rPr>
                <w:sz w:val="20"/>
                <w:szCs w:val="20"/>
                <w:color w:val="auto"/>
              </w:rPr>
            </w:pPr>
            <w:r>
              <w:rPr>
                <w:rFonts w:ascii="Arial" w:cs="Arial" w:eastAsia="Arial" w:hAnsi="Arial"/>
                <w:sz w:val="14"/>
                <w:szCs w:val="14"/>
                <w:b w:val="1"/>
                <w:bCs w:val="1"/>
                <w:i w:val="1"/>
                <w:iCs w:val="1"/>
                <w:color w:val="auto"/>
              </w:rPr>
              <w:t>Income Taxes</w:t>
            </w: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64"/>
        </w:trPr>
        <w:tc>
          <w:tcPr>
            <w:tcW w:w="7460" w:type="dxa"/>
            <w:vAlign w:val="bottom"/>
          </w:tcPr>
          <w:p>
            <w:pPr>
              <w:spacing w:after="0"/>
              <w:rPr>
                <w:sz w:val="20"/>
                <w:szCs w:val="20"/>
                <w:color w:val="auto"/>
              </w:rPr>
            </w:pPr>
            <w:r>
              <w:rPr>
                <w:rFonts w:ascii="Arial" w:cs="Arial" w:eastAsia="Arial" w:hAnsi="Arial"/>
                <w:sz w:val="14"/>
                <w:szCs w:val="14"/>
                <w:color w:val="auto"/>
              </w:rPr>
              <w:t>Provision for income taxes and the effective tax rate were as follows:</w:t>
            </w: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51"/>
        </w:trPr>
        <w:tc>
          <w:tcPr>
            <w:tcW w:w="7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For the Three Months Ended</w:t>
            </w:r>
          </w:p>
        </w:tc>
      </w:tr>
      <w:tr>
        <w:trPr>
          <w:trHeight w:val="156"/>
        </w:trPr>
        <w:tc>
          <w:tcPr>
            <w:tcW w:w="74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800" w:type="dxa"/>
            <w:vAlign w:val="bottom"/>
            <w:tcBorders>
              <w:top w:val="single" w:sz="8" w:color="auto"/>
            </w:tcBorders>
            <w:gridSpan w:val="2"/>
          </w:tcPr>
          <w:p>
            <w:pPr>
              <w:jc w:val="right"/>
              <w:ind w:right="680"/>
              <w:spacing w:after="0" w:line="155" w:lineRule="exact"/>
              <w:rPr>
                <w:sz w:val="20"/>
                <w:szCs w:val="20"/>
                <w:color w:val="auto"/>
              </w:rPr>
            </w:pPr>
            <w:r>
              <w:rPr>
                <w:rFonts w:ascii="Arial" w:cs="Arial" w:eastAsia="Arial" w:hAnsi="Arial"/>
                <w:sz w:val="14"/>
                <w:szCs w:val="14"/>
                <w:b w:val="1"/>
                <w:bCs w:val="1"/>
                <w:color w:val="auto"/>
              </w:rPr>
              <w:t>March 29, 2026</w:t>
            </w:r>
          </w:p>
        </w:tc>
        <w:tc>
          <w:tcPr>
            <w:tcW w:w="18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jc w:val="right"/>
              <w:ind w:right="248"/>
              <w:spacing w:after="0" w:line="155" w:lineRule="exact"/>
              <w:rPr>
                <w:sz w:val="20"/>
                <w:szCs w:val="20"/>
                <w:color w:val="auto"/>
              </w:rPr>
            </w:pPr>
            <w:r>
              <w:rPr>
                <w:rFonts w:ascii="Arial" w:cs="Arial" w:eastAsia="Arial" w:hAnsi="Arial"/>
                <w:sz w:val="14"/>
                <w:szCs w:val="14"/>
                <w:b w:val="1"/>
                <w:bCs w:val="1"/>
                <w:color w:val="auto"/>
              </w:rPr>
              <w:t>March 30, 2025</w:t>
            </w:r>
          </w:p>
        </w:tc>
        <w:tc>
          <w:tcPr>
            <w:tcW w:w="180" w:type="dxa"/>
            <w:vAlign w:val="bottom"/>
          </w:tcPr>
          <w:p>
            <w:pPr>
              <w:spacing w:after="0"/>
              <w:rPr>
                <w:sz w:val="13"/>
                <w:szCs w:val="13"/>
                <w:color w:val="auto"/>
              </w:rPr>
            </w:pPr>
          </w:p>
        </w:tc>
      </w:tr>
      <w:tr>
        <w:trPr>
          <w:trHeight w:val="155"/>
        </w:trPr>
        <w:tc>
          <w:tcPr>
            <w:tcW w:w="746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Provision for income taxes</w:t>
            </w:r>
          </w:p>
        </w:tc>
        <w:tc>
          <w:tcPr>
            <w:tcW w:w="180" w:type="dxa"/>
            <w:vAlign w:val="bottom"/>
            <w:tcBorders>
              <w:top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836</w:t>
            </w:r>
          </w:p>
        </w:tc>
        <w:tc>
          <w:tcPr>
            <w:tcW w:w="380" w:type="dxa"/>
            <w:vAlign w:val="bottom"/>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499</w:t>
            </w:r>
          </w:p>
        </w:tc>
        <w:tc>
          <w:tcPr>
            <w:tcW w:w="180" w:type="dxa"/>
            <w:vAlign w:val="bottom"/>
            <w:shd w:val="clear" w:color="auto" w:fill="CFF0FC"/>
          </w:tcPr>
          <w:p>
            <w:pPr>
              <w:spacing w:after="0"/>
              <w:rPr>
                <w:sz w:val="13"/>
                <w:szCs w:val="13"/>
                <w:color w:val="auto"/>
              </w:rPr>
            </w:pPr>
          </w:p>
        </w:tc>
      </w:tr>
      <w:tr>
        <w:trPr>
          <w:trHeight w:val="190"/>
        </w:trPr>
        <w:tc>
          <w:tcPr>
            <w:tcW w:w="7460" w:type="dxa"/>
            <w:vAlign w:val="bottom"/>
          </w:tcPr>
          <w:p>
            <w:pPr>
              <w:spacing w:after="0"/>
              <w:rPr>
                <w:sz w:val="20"/>
                <w:szCs w:val="20"/>
                <w:color w:val="auto"/>
              </w:rPr>
            </w:pPr>
            <w:r>
              <w:rPr>
                <w:rFonts w:ascii="Arial" w:cs="Arial" w:eastAsia="Arial" w:hAnsi="Arial"/>
                <w:sz w:val="14"/>
                <w:szCs w:val="14"/>
                <w:color w:val="auto"/>
              </w:rPr>
              <w:t>Effective tax rate</w:t>
            </w:r>
          </w:p>
        </w:tc>
        <w:tc>
          <w:tcPr>
            <w:tcW w:w="180" w:type="dxa"/>
            <w:vAlign w:val="bottom"/>
          </w:tcPr>
          <w:p>
            <w:pPr>
              <w:spacing w:after="0"/>
              <w:rPr>
                <w:sz w:val="16"/>
                <w:szCs w:val="16"/>
                <w:color w:val="auto"/>
              </w:rPr>
            </w:pPr>
          </w:p>
        </w:tc>
        <w:tc>
          <w:tcPr>
            <w:tcW w:w="1800" w:type="dxa"/>
            <w:vAlign w:val="bottom"/>
            <w:gridSpan w:val="2"/>
          </w:tcPr>
          <w:p>
            <w:pPr>
              <w:jc w:val="right"/>
              <w:ind w:right="200"/>
              <w:spacing w:after="0"/>
              <w:rPr>
                <w:sz w:val="20"/>
                <w:szCs w:val="20"/>
                <w:color w:val="auto"/>
              </w:rPr>
            </w:pPr>
            <w:r>
              <w:rPr>
                <w:rFonts w:ascii="Arial" w:cs="Arial" w:eastAsia="Arial" w:hAnsi="Arial"/>
                <w:sz w:val="14"/>
                <w:szCs w:val="14"/>
                <w:color w:val="auto"/>
              </w:rPr>
              <w:t>(56.9)%</w:t>
            </w:r>
          </w:p>
        </w:tc>
        <w:tc>
          <w:tcPr>
            <w:tcW w:w="180" w:type="dxa"/>
            <w:vAlign w:val="bottom"/>
          </w:tcPr>
          <w:p>
            <w:pPr>
              <w:spacing w:after="0"/>
              <w:rPr>
                <w:sz w:val="16"/>
                <w:szCs w:val="16"/>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4"/>
                <w:szCs w:val="14"/>
                <w:color w:val="auto"/>
              </w:rPr>
              <w:t>(3.1)%</w:t>
            </w:r>
          </w:p>
        </w:tc>
      </w:tr>
    </w:tbl>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The decrease in the effective tax rate from the prior period to the current period is primarily attributable to higher foreign earnings in the current period.</w:t>
      </w:r>
    </w:p>
    <w:p>
      <w:pPr>
        <w:spacing w:after="0" w:line="163"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The effective tax rate is subject to variation due to a number of factors, including variability in pre-tax book income; the mix of income by jurisdiction; changes in deferred tax valuation allowances; and changes in statutes, audit settlement, regulations, and case law. Additionally, the impacts of discrete and other rate impacting items are more pronounced when loss before income taxes is lower.</w:t>
      </w:r>
    </w:p>
    <w:p>
      <w:pPr>
        <w:spacing w:after="0" w:line="2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Loss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The improvement in net loss was primarily attributable to (i) increased gross profit, (ii) lower SG&amp;A expenses, (iii) lower interest expense, net, (iv) lower income tax expense and</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(v) lower restructuring costs, net.</w:t>
      </w: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Adjusted EBITDA and Adjusted EPS (Non-GAAP Financial Measures)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Adjusted EBITDA and Adjusted EPS increased primarily due to higher gross profit and lower SG&amp;A expenses.</w:t>
      </w: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Segment Overview</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Following is a discussion and analysis of the revenue and profitability performance of UNIFI’s reportable segments for the current period.</w:t>
      </w: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Americas Segment</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The components of Segment Profit (Loss), each component as a percentage of net sales, and the percentage increase or decrease over the prior period amounts for the</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Americas Segment,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14"/>
                <w:szCs w:val="14"/>
                <w:b w:val="1"/>
                <w:bCs w:val="1"/>
                <w:color w:val="auto"/>
              </w:rPr>
              <w:t>For the Three Months Ended</w:t>
            </w:r>
          </w:p>
        </w:tc>
        <w:tc>
          <w:tcPr>
            <w:tcW w:w="12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7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3"/>
          </w:tcPr>
          <w:p>
            <w:pPr>
              <w:jc w:val="right"/>
              <w:ind w:right="748"/>
              <w:spacing w:after="0" w:line="155" w:lineRule="exact"/>
              <w:rPr>
                <w:sz w:val="20"/>
                <w:szCs w:val="20"/>
                <w:color w:val="auto"/>
              </w:rPr>
            </w:pPr>
            <w:r>
              <w:rPr>
                <w:rFonts w:ascii="Arial" w:cs="Arial" w:eastAsia="Arial" w:hAnsi="Arial"/>
                <w:sz w:val="14"/>
                <w:szCs w:val="14"/>
                <w:b w:val="1"/>
                <w:bCs w:val="1"/>
                <w:color w:val="auto"/>
              </w:rPr>
              <w:t>March 29, 2026</w:t>
            </w:r>
          </w:p>
        </w:tc>
        <w:tc>
          <w:tcPr>
            <w:tcW w:w="2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320" w:type="dxa"/>
            <w:vAlign w:val="bottom"/>
            <w:tcBorders>
              <w:bottom w:val="single" w:sz="8" w:color="auto"/>
            </w:tcBorders>
            <w:gridSpan w:val="3"/>
          </w:tcPr>
          <w:p>
            <w:pPr>
              <w:jc w:val="right"/>
              <w:ind w:right="768"/>
              <w:spacing w:after="0" w:line="155" w:lineRule="exact"/>
              <w:rPr>
                <w:sz w:val="20"/>
                <w:szCs w:val="20"/>
                <w:color w:val="auto"/>
              </w:rPr>
            </w:pPr>
            <w:r>
              <w:rPr>
                <w:rFonts w:ascii="Arial" w:cs="Arial" w:eastAsia="Arial" w:hAnsi="Arial"/>
                <w:sz w:val="14"/>
                <w:szCs w:val="14"/>
                <w:b w:val="1"/>
                <w:bCs w:val="1"/>
                <w:color w:val="auto"/>
              </w:rPr>
              <w:t>March 30, 2025</w:t>
            </w:r>
          </w:p>
        </w:tc>
        <w:tc>
          <w:tcPr>
            <w:tcW w:w="200" w:type="dxa"/>
            <w:vAlign w:val="bottom"/>
          </w:tcPr>
          <w:p>
            <w:pPr>
              <w:spacing w:after="0"/>
              <w:rPr>
                <w:sz w:val="13"/>
                <w:szCs w:val="13"/>
                <w:color w:val="auto"/>
              </w:rPr>
            </w:pPr>
          </w:p>
        </w:tc>
        <w:tc>
          <w:tcPr>
            <w:tcW w:w="1260" w:type="dxa"/>
            <w:vAlign w:val="bottom"/>
            <w:vMerge w:val="restart"/>
          </w:tcPr>
          <w:p>
            <w:pPr>
              <w:jc w:val="right"/>
              <w:ind w:right="50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7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jc w:val="right"/>
              <w:ind w:right="408"/>
              <w:spacing w:after="0" w:line="147" w:lineRule="exact"/>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jc w:val="right"/>
              <w:ind w:right="388"/>
              <w:spacing w:after="0" w:line="147"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Net Sales</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Net Sales</w:t>
            </w:r>
          </w:p>
        </w:tc>
        <w:tc>
          <w:tcPr>
            <w:tcW w:w="200" w:type="dxa"/>
            <w:vAlign w:val="bottom"/>
          </w:tcPr>
          <w:p>
            <w:pPr>
              <w:spacing w:after="0"/>
              <w:rPr>
                <w:sz w:val="14"/>
                <w:szCs w:val="14"/>
                <w:color w:val="auto"/>
              </w:rPr>
            </w:pPr>
          </w:p>
        </w:tc>
        <w:tc>
          <w:tcPr>
            <w:tcW w:w="12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74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Net sales</w:t>
            </w:r>
          </w:p>
        </w:tc>
        <w:tc>
          <w:tcPr>
            <w:tcW w:w="1760" w:type="dxa"/>
            <w:vAlign w:val="bottom"/>
            <w:gridSpan w:val="2"/>
            <w:shd w:val="clear" w:color="auto" w:fill="CFF0FC"/>
          </w:tcPr>
          <w:p>
            <w:pPr>
              <w:jc w:val="right"/>
              <w:ind w:right="248"/>
              <w:spacing w:after="0" w:line="155" w:lineRule="exact"/>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78,343</w:t>
            </w:r>
          </w:p>
        </w:tc>
        <w:tc>
          <w:tcPr>
            <w:tcW w:w="26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100.0</w:t>
            </w:r>
          </w:p>
        </w:tc>
        <w:tc>
          <w:tcPr>
            <w:tcW w:w="600" w:type="dxa"/>
            <w:vAlign w:val="bottom"/>
            <w:gridSpan w:val="2"/>
            <w:shd w:val="clear" w:color="auto" w:fill="CFF0FC"/>
          </w:tcPr>
          <w:p>
            <w:pPr>
              <w:jc w:val="right"/>
              <w:ind w:right="208"/>
              <w:spacing w:after="0" w:line="155" w:lineRule="exact"/>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93,544</w:t>
            </w:r>
          </w:p>
        </w:tc>
        <w:tc>
          <w:tcPr>
            <w:tcW w:w="30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100.0</w:t>
            </w:r>
          </w:p>
        </w:tc>
        <w:tc>
          <w:tcPr>
            <w:tcW w:w="20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162"/>
        </w:trPr>
        <w:tc>
          <w:tcPr>
            <w:tcW w:w="2740" w:type="dxa"/>
            <w:vAlign w:val="bottom"/>
          </w:tcPr>
          <w:p>
            <w:pPr>
              <w:spacing w:after="0"/>
              <w:rPr>
                <w:sz w:val="20"/>
                <w:szCs w:val="20"/>
                <w:color w:val="auto"/>
              </w:rPr>
            </w:pPr>
            <w:r>
              <w:rPr>
                <w:rFonts w:ascii="Arial" w:cs="Arial" w:eastAsia="Arial" w:hAnsi="Arial"/>
                <w:sz w:val="14"/>
                <w:szCs w:val="14"/>
                <w:color w:val="auto"/>
              </w:rPr>
              <w:t>Cost of sales</w:t>
            </w:r>
          </w:p>
        </w:tc>
        <w:tc>
          <w:tcPr>
            <w:tcW w:w="13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74,720</w:t>
            </w:r>
          </w:p>
        </w:tc>
        <w:tc>
          <w:tcPr>
            <w:tcW w:w="260" w:type="dxa"/>
            <w:vAlign w:val="bottom"/>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95.4</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100,501</w:t>
            </w:r>
          </w:p>
        </w:tc>
        <w:tc>
          <w:tcPr>
            <w:tcW w:w="300" w:type="dxa"/>
            <w:vAlign w:val="bottom"/>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107.4</w:t>
            </w:r>
          </w:p>
        </w:tc>
        <w:tc>
          <w:tcPr>
            <w:tcW w:w="200" w:type="dxa"/>
            <w:vAlign w:val="bottom"/>
          </w:tcPr>
          <w:p>
            <w:pPr>
              <w:spacing w:after="0"/>
              <w:rPr>
                <w:sz w:val="14"/>
                <w:szCs w:val="14"/>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4"/>
                <w:szCs w:val="14"/>
                <w:color w:val="auto"/>
              </w:rPr>
              <w:t>(25.7)</w:t>
            </w:r>
          </w:p>
        </w:tc>
        <w:tc>
          <w:tcPr>
            <w:tcW w:w="0" w:type="dxa"/>
            <w:vAlign w:val="bottom"/>
          </w:tcPr>
          <w:p>
            <w:pPr>
              <w:spacing w:after="0"/>
              <w:rPr>
                <w:sz w:val="1"/>
                <w:szCs w:val="1"/>
                <w:color w:val="auto"/>
              </w:rPr>
            </w:pPr>
          </w:p>
        </w:tc>
      </w:tr>
      <w:tr>
        <w:trPr>
          <w:trHeight w:val="155"/>
        </w:trPr>
        <w:tc>
          <w:tcPr>
            <w:tcW w:w="274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Gross profit (loss)</w:t>
            </w:r>
          </w:p>
        </w:tc>
        <w:tc>
          <w:tcPr>
            <w:tcW w:w="136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3,623</w:t>
            </w:r>
          </w:p>
        </w:tc>
        <w:tc>
          <w:tcPr>
            <w:tcW w:w="26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4.6</w:t>
            </w:r>
          </w:p>
        </w:tc>
        <w:tc>
          <w:tcPr>
            <w:tcW w:w="2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240"/>
              <w:spacing w:after="0" w:line="155" w:lineRule="exact"/>
              <w:rPr>
                <w:sz w:val="20"/>
                <w:szCs w:val="20"/>
                <w:color w:val="auto"/>
              </w:rPr>
            </w:pPr>
            <w:r>
              <w:rPr>
                <w:rFonts w:ascii="Arial" w:cs="Arial" w:eastAsia="Arial" w:hAnsi="Arial"/>
                <w:sz w:val="14"/>
                <w:szCs w:val="14"/>
                <w:color w:val="auto"/>
              </w:rPr>
              <w:t>(6,957)</w:t>
            </w:r>
          </w:p>
        </w:tc>
        <w:tc>
          <w:tcPr>
            <w:tcW w:w="1420" w:type="dxa"/>
            <w:vAlign w:val="bottom"/>
            <w:gridSpan w:val="2"/>
            <w:shd w:val="clear" w:color="auto" w:fill="CFF0FC"/>
          </w:tcPr>
          <w:p>
            <w:pPr>
              <w:jc w:val="right"/>
              <w:ind w:right="160"/>
              <w:spacing w:after="0" w:line="155" w:lineRule="exact"/>
              <w:rPr>
                <w:sz w:val="20"/>
                <w:szCs w:val="20"/>
                <w:color w:val="auto"/>
              </w:rPr>
            </w:pPr>
            <w:r>
              <w:rPr>
                <w:rFonts w:ascii="Arial" w:cs="Arial" w:eastAsia="Arial" w:hAnsi="Arial"/>
                <w:sz w:val="14"/>
                <w:szCs w:val="14"/>
                <w:color w:val="auto"/>
              </w:rPr>
              <w:t>(7.4)</w:t>
            </w:r>
          </w:p>
        </w:tc>
        <w:tc>
          <w:tcPr>
            <w:tcW w:w="136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(152.1)</w:t>
            </w:r>
          </w:p>
        </w:tc>
        <w:tc>
          <w:tcPr>
            <w:tcW w:w="0" w:type="dxa"/>
            <w:vAlign w:val="bottom"/>
          </w:tcPr>
          <w:p>
            <w:pPr>
              <w:spacing w:after="0"/>
              <w:rPr>
                <w:sz w:val="1"/>
                <w:szCs w:val="1"/>
                <w:color w:val="auto"/>
              </w:rPr>
            </w:pPr>
          </w:p>
        </w:tc>
      </w:tr>
      <w:tr>
        <w:trPr>
          <w:trHeight w:val="162"/>
        </w:trPr>
        <w:tc>
          <w:tcPr>
            <w:tcW w:w="2740" w:type="dxa"/>
            <w:vAlign w:val="bottom"/>
          </w:tcPr>
          <w:p>
            <w:pPr>
              <w:spacing w:after="0"/>
              <w:rPr>
                <w:sz w:val="20"/>
                <w:szCs w:val="20"/>
                <w:color w:val="auto"/>
              </w:rPr>
            </w:pPr>
            <w:r>
              <w:rPr>
                <w:rFonts w:ascii="Arial" w:cs="Arial" w:eastAsia="Arial" w:hAnsi="Arial"/>
                <w:sz w:val="14"/>
                <w:szCs w:val="14"/>
                <w:color w:val="auto"/>
              </w:rPr>
              <w:t>Depreciation expense</w:t>
            </w:r>
          </w:p>
        </w:tc>
        <w:tc>
          <w:tcPr>
            <w:tcW w:w="13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4,942</w:t>
            </w:r>
          </w:p>
        </w:tc>
        <w:tc>
          <w:tcPr>
            <w:tcW w:w="260" w:type="dxa"/>
            <w:vAlign w:val="bottom"/>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5,251</w:t>
            </w:r>
          </w:p>
        </w:tc>
        <w:tc>
          <w:tcPr>
            <w:tcW w:w="300" w:type="dxa"/>
            <w:vAlign w:val="bottom"/>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w:t>
            </w:r>
          </w:p>
        </w:tc>
        <w:tc>
          <w:tcPr>
            <w:tcW w:w="200" w:type="dxa"/>
            <w:vAlign w:val="bottom"/>
          </w:tcPr>
          <w:p>
            <w:pPr>
              <w:spacing w:after="0"/>
              <w:rPr>
                <w:sz w:val="14"/>
                <w:szCs w:val="14"/>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95"/>
        </w:trPr>
        <w:tc>
          <w:tcPr>
            <w:tcW w:w="274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Segment Profit (Loss)</w:t>
            </w:r>
          </w:p>
        </w:tc>
        <w:tc>
          <w:tcPr>
            <w:tcW w:w="136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jc w:val="right"/>
              <w:ind w:right="248"/>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8,565</w:t>
            </w:r>
          </w:p>
        </w:tc>
        <w:tc>
          <w:tcPr>
            <w:tcW w:w="26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10.9</w:t>
            </w:r>
          </w:p>
        </w:tc>
        <w:tc>
          <w:tcPr>
            <w:tcW w:w="24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ind w:right="208"/>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(1,706)</w:t>
            </w:r>
          </w:p>
        </w:tc>
        <w:tc>
          <w:tcPr>
            <w:tcW w:w="300" w:type="dxa"/>
            <w:vAlign w:val="bottom"/>
            <w:tcBorders>
              <w:bottom w:val="single" w:sz="8" w:color="CFF0FC"/>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(1.8)</w:t>
            </w:r>
          </w:p>
        </w:tc>
        <w:tc>
          <w:tcPr>
            <w:tcW w:w="200" w:type="dxa"/>
            <w:vAlign w:val="bottom"/>
            <w:tcBorders>
              <w:bottom w:val="single" w:sz="8" w:color="CFF0FC"/>
            </w:tcBorders>
            <w:shd w:val="clear" w:color="auto" w:fill="CFF0FC"/>
          </w:tcPr>
          <w:p>
            <w:pPr>
              <w:spacing w:after="0"/>
              <w:rPr>
                <w:sz w:val="17"/>
                <w:szCs w:val="17"/>
                <w:color w:val="auto"/>
              </w:rPr>
            </w:pPr>
          </w:p>
        </w:tc>
        <w:tc>
          <w:tcPr>
            <w:tcW w:w="1360" w:type="dxa"/>
            <w:vAlign w:val="bottom"/>
            <w:tcBorders>
              <w:bottom w:val="single" w:sz="8" w:color="CFF0FC"/>
            </w:tcBorders>
            <w:gridSpan w:val="2"/>
            <w:shd w:val="clear" w:color="auto" w:fill="CFF0FC"/>
          </w:tcPr>
          <w:p>
            <w:pPr>
              <w:jc w:val="right"/>
              <w:ind w:right="120"/>
              <w:spacing w:after="0" w:line="155" w:lineRule="exact"/>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-24765</wp:posOffset>
            </wp:positionV>
            <wp:extent cx="9398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-7620</wp:posOffset>
            </wp:positionV>
            <wp:extent cx="939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-24765</wp:posOffset>
            </wp:positionV>
            <wp:extent cx="6858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-7620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-24765</wp:posOffset>
            </wp:positionV>
            <wp:extent cx="12001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-7620</wp:posOffset>
            </wp:positionV>
            <wp:extent cx="12001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6858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shd w:val="clear" w:color="auto" w:fill="CFF0FC"/>
          </w:tcPr>
          <w:p>
            <w:pPr>
              <w:spacing w:after="0"/>
              <w:rPr>
                <w:sz w:val="20"/>
                <w:szCs w:val="20"/>
                <w:color w:val="auto"/>
              </w:rPr>
            </w:pPr>
            <w:r>
              <w:rPr>
                <w:rFonts w:ascii="Arial" w:cs="Arial" w:eastAsia="Arial" w:hAnsi="Arial"/>
                <w:sz w:val="14"/>
                <w:szCs w:val="14"/>
                <w:color w:val="auto"/>
              </w:rPr>
              <w:t>Segment net sales as a percentage of</w:t>
            </w:r>
          </w:p>
        </w:tc>
        <w:tc>
          <w:tcPr>
            <w:tcW w:w="2800" w:type="dxa"/>
            <w:vAlign w:val="bottom"/>
            <w:shd w:val="clear" w:color="auto" w:fill="CFF0FC"/>
          </w:tcPr>
          <w:p>
            <w:pPr>
              <w:spacing w:after="0"/>
              <w:rPr>
                <w:sz w:val="14"/>
                <w:szCs w:val="14"/>
                <w:color w:val="auto"/>
              </w:rPr>
            </w:pPr>
          </w:p>
        </w:tc>
        <w:tc>
          <w:tcPr>
            <w:tcW w:w="4640" w:type="dxa"/>
            <w:vAlign w:val="bottom"/>
            <w:shd w:val="clear" w:color="auto" w:fill="CFF0FC"/>
          </w:tcPr>
          <w:p>
            <w:pPr>
              <w:spacing w:after="0"/>
              <w:rPr>
                <w:sz w:val="14"/>
                <w:szCs w:val="14"/>
                <w:color w:val="auto"/>
              </w:rPr>
            </w:pPr>
          </w:p>
        </w:tc>
      </w:tr>
      <w:tr>
        <w:trPr>
          <w:trHeight w:val="171"/>
        </w:trPr>
        <w:tc>
          <w:tcPr>
            <w:tcW w:w="38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consolidated amounts</w:t>
            </w:r>
          </w:p>
        </w:tc>
        <w:tc>
          <w:tcPr>
            <w:tcW w:w="2800" w:type="dxa"/>
            <w:vAlign w:val="bottom"/>
            <w:shd w:val="clear" w:color="auto" w:fill="CFF0FC"/>
          </w:tcPr>
          <w:p>
            <w:pPr>
              <w:jc w:val="right"/>
              <w:ind w:right="1148"/>
              <w:spacing w:after="0"/>
              <w:rPr>
                <w:sz w:val="20"/>
                <w:szCs w:val="20"/>
                <w:color w:val="auto"/>
              </w:rPr>
            </w:pPr>
            <w:r>
              <w:rPr>
                <w:rFonts w:ascii="Arial" w:cs="Arial" w:eastAsia="Arial" w:hAnsi="Arial"/>
                <w:sz w:val="14"/>
                <w:szCs w:val="14"/>
                <w:color w:val="auto"/>
              </w:rPr>
              <w:t>60.2%</w:t>
            </w:r>
          </w:p>
        </w:tc>
        <w:tc>
          <w:tcPr>
            <w:tcW w:w="4640" w:type="dxa"/>
            <w:vAlign w:val="bottom"/>
            <w:shd w:val="clear" w:color="auto" w:fill="CFF0FC"/>
          </w:tcPr>
          <w:p>
            <w:pPr>
              <w:jc w:val="right"/>
              <w:ind w:right="2868"/>
              <w:spacing w:after="0"/>
              <w:rPr>
                <w:sz w:val="20"/>
                <w:szCs w:val="20"/>
                <w:color w:val="auto"/>
              </w:rPr>
            </w:pPr>
            <w:r>
              <w:rPr>
                <w:rFonts w:ascii="Arial" w:cs="Arial" w:eastAsia="Arial" w:hAnsi="Arial"/>
                <w:sz w:val="14"/>
                <w:szCs w:val="14"/>
                <w:color w:val="auto"/>
              </w:rPr>
              <w:t>63.8%</w:t>
            </w:r>
          </w:p>
        </w:tc>
      </w:tr>
      <w:tr>
        <w:trPr>
          <w:trHeight w:val="153"/>
        </w:trPr>
        <w:tc>
          <w:tcPr>
            <w:tcW w:w="3800" w:type="dxa"/>
            <w:vAlign w:val="bottom"/>
          </w:tcPr>
          <w:p>
            <w:pPr>
              <w:spacing w:after="0" w:line="153" w:lineRule="exact"/>
              <w:rPr>
                <w:sz w:val="20"/>
                <w:szCs w:val="20"/>
                <w:color w:val="auto"/>
              </w:rPr>
            </w:pPr>
            <w:r>
              <w:rPr>
                <w:rFonts w:ascii="Arial" w:cs="Arial" w:eastAsia="Arial" w:hAnsi="Arial"/>
                <w:sz w:val="14"/>
                <w:szCs w:val="14"/>
                <w:color w:val="auto"/>
              </w:rPr>
              <w:t>Segment Profit (Loss) as a percentage of</w:t>
            </w:r>
          </w:p>
        </w:tc>
        <w:tc>
          <w:tcPr>
            <w:tcW w:w="2800" w:type="dxa"/>
            <w:vAlign w:val="bottom"/>
          </w:tcPr>
          <w:p>
            <w:pPr>
              <w:spacing w:after="0"/>
              <w:rPr>
                <w:sz w:val="13"/>
                <w:szCs w:val="13"/>
                <w:color w:val="auto"/>
              </w:rPr>
            </w:pPr>
          </w:p>
        </w:tc>
        <w:tc>
          <w:tcPr>
            <w:tcW w:w="4640" w:type="dxa"/>
            <w:vAlign w:val="bottom"/>
          </w:tcPr>
          <w:p>
            <w:pPr>
              <w:spacing w:after="0"/>
              <w:rPr>
                <w:sz w:val="13"/>
                <w:szCs w:val="13"/>
                <w:color w:val="auto"/>
              </w:rPr>
            </w:pPr>
          </w:p>
        </w:tc>
      </w:tr>
      <w:tr>
        <w:trPr>
          <w:trHeight w:val="190"/>
        </w:trPr>
        <w:tc>
          <w:tcPr>
            <w:tcW w:w="3800" w:type="dxa"/>
            <w:vAlign w:val="bottom"/>
          </w:tcPr>
          <w:p>
            <w:pPr>
              <w:ind w:left="120"/>
              <w:spacing w:after="0"/>
              <w:rPr>
                <w:sz w:val="20"/>
                <w:szCs w:val="20"/>
                <w:color w:val="auto"/>
              </w:rPr>
            </w:pPr>
            <w:r>
              <w:rPr>
                <w:rFonts w:ascii="Arial" w:cs="Arial" w:eastAsia="Arial" w:hAnsi="Arial"/>
                <w:sz w:val="14"/>
                <w:szCs w:val="14"/>
                <w:color w:val="auto"/>
              </w:rPr>
              <w:t>consolidated amounts</w:t>
            </w:r>
          </w:p>
        </w:tc>
        <w:tc>
          <w:tcPr>
            <w:tcW w:w="2800" w:type="dxa"/>
            <w:vAlign w:val="bottom"/>
          </w:tcPr>
          <w:p>
            <w:pPr>
              <w:jc w:val="right"/>
              <w:ind w:right="1148"/>
              <w:spacing w:after="0"/>
              <w:rPr>
                <w:sz w:val="20"/>
                <w:szCs w:val="20"/>
                <w:color w:val="auto"/>
              </w:rPr>
            </w:pPr>
            <w:r>
              <w:rPr>
                <w:rFonts w:ascii="Arial" w:cs="Arial" w:eastAsia="Arial" w:hAnsi="Arial"/>
                <w:sz w:val="14"/>
                <w:szCs w:val="14"/>
                <w:color w:val="auto"/>
              </w:rPr>
              <w:t>57.1%</w:t>
            </w:r>
          </w:p>
        </w:tc>
        <w:tc>
          <w:tcPr>
            <w:tcW w:w="4640" w:type="dxa"/>
            <w:vAlign w:val="bottom"/>
          </w:tcPr>
          <w:p>
            <w:pPr>
              <w:jc w:val="right"/>
              <w:ind w:right="2828"/>
              <w:spacing w:after="0"/>
              <w:rPr>
                <w:sz w:val="20"/>
                <w:szCs w:val="20"/>
                <w:color w:val="auto"/>
              </w:rPr>
            </w:pPr>
            <w:r>
              <w:rPr>
                <w:rFonts w:ascii="Arial" w:cs="Arial" w:eastAsia="Arial" w:hAnsi="Arial"/>
                <w:sz w:val="14"/>
                <w:szCs w:val="14"/>
                <w:color w:val="auto"/>
              </w:rPr>
              <w:t>(30.9)%</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0"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90"/>
        </w:trPr>
        <w:tc>
          <w:tcPr>
            <w:tcW w:w="9140" w:type="dxa"/>
            <w:vAlign w:val="bottom"/>
          </w:tcPr>
          <w:p>
            <w:pPr>
              <w:spacing w:after="0"/>
              <w:rPr>
                <w:sz w:val="20"/>
                <w:szCs w:val="20"/>
                <w:color w:val="auto"/>
              </w:rPr>
            </w:pPr>
            <w:r>
              <w:rPr>
                <w:rFonts w:ascii="Arial" w:cs="Arial" w:eastAsia="Arial" w:hAnsi="Arial"/>
                <w:sz w:val="14"/>
                <w:szCs w:val="14"/>
                <w:color w:val="auto"/>
              </w:rPr>
              <w:t>The change in net sales for the Americas Segment was as follows:</w:t>
            </w:r>
          </w:p>
        </w:tc>
        <w:tc>
          <w:tcPr>
            <w:tcW w:w="7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89"/>
        </w:trPr>
        <w:tc>
          <w:tcPr>
            <w:tcW w:w="9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162"/>
        </w:trPr>
        <w:tc>
          <w:tcPr>
            <w:tcW w:w="9140" w:type="dxa"/>
            <w:vAlign w:val="bottom"/>
            <w:shd w:val="clear" w:color="auto" w:fill="CFF0FC"/>
          </w:tcPr>
          <w:p>
            <w:pPr>
              <w:spacing w:after="0"/>
              <w:rPr>
                <w:sz w:val="20"/>
                <w:szCs w:val="20"/>
                <w:color w:val="auto"/>
              </w:rPr>
            </w:pPr>
            <w:r>
              <w:rPr>
                <w:rFonts w:ascii="Arial" w:cs="Arial" w:eastAsia="Arial" w:hAnsi="Arial"/>
                <w:sz w:val="14"/>
                <w:szCs w:val="14"/>
                <w:color w:val="auto"/>
              </w:rPr>
              <w:t>Net sales for the prior period</w:t>
            </w:r>
          </w:p>
        </w:tc>
        <w:tc>
          <w:tcPr>
            <w:tcW w:w="780" w:type="dxa"/>
            <w:vAlign w:val="bottom"/>
            <w:shd w:val="clear" w:color="auto" w:fill="CFF0FC"/>
          </w:tcPr>
          <w:p>
            <w:pPr>
              <w:jc w:val="right"/>
              <w:ind w:right="62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93,544</w:t>
            </w:r>
          </w:p>
        </w:tc>
        <w:tc>
          <w:tcPr>
            <w:tcW w:w="120" w:type="dxa"/>
            <w:vAlign w:val="bottom"/>
            <w:shd w:val="clear" w:color="auto" w:fill="CFF0FC"/>
          </w:tcPr>
          <w:p>
            <w:pPr>
              <w:spacing w:after="0"/>
              <w:rPr>
                <w:sz w:val="14"/>
                <w:szCs w:val="14"/>
                <w:color w:val="auto"/>
              </w:rPr>
            </w:pPr>
          </w:p>
        </w:tc>
      </w:tr>
      <w:tr>
        <w:trPr>
          <w:trHeight w:val="162"/>
        </w:trPr>
        <w:tc>
          <w:tcPr>
            <w:tcW w:w="9140" w:type="dxa"/>
            <w:vAlign w:val="bottom"/>
          </w:tcPr>
          <w:p>
            <w:pPr>
              <w:spacing w:after="0"/>
              <w:rPr>
                <w:sz w:val="20"/>
                <w:szCs w:val="20"/>
                <w:color w:val="auto"/>
              </w:rPr>
            </w:pPr>
            <w:r>
              <w:rPr>
                <w:rFonts w:ascii="Arial" w:cs="Arial" w:eastAsia="Arial" w:hAnsi="Arial"/>
                <w:sz w:val="14"/>
                <w:szCs w:val="14"/>
                <w:color w:val="auto"/>
              </w:rPr>
              <w:t>Decrease in sales volumes</w:t>
            </w:r>
          </w:p>
        </w:tc>
        <w:tc>
          <w:tcPr>
            <w:tcW w:w="78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(14,722)</w:t>
            </w:r>
          </w:p>
        </w:tc>
      </w:tr>
      <w:tr>
        <w:trPr>
          <w:trHeight w:val="162"/>
        </w:trPr>
        <w:tc>
          <w:tcPr>
            <w:tcW w:w="9140" w:type="dxa"/>
            <w:vAlign w:val="bottom"/>
            <w:shd w:val="clear" w:color="auto" w:fill="CFF0FC"/>
          </w:tcPr>
          <w:p>
            <w:pPr>
              <w:spacing w:after="0"/>
              <w:rPr>
                <w:sz w:val="20"/>
                <w:szCs w:val="20"/>
                <w:color w:val="auto"/>
              </w:rPr>
            </w:pPr>
            <w:r>
              <w:rPr>
                <w:rFonts w:ascii="Arial" w:cs="Arial" w:eastAsia="Arial" w:hAnsi="Arial"/>
                <w:sz w:val="14"/>
                <w:szCs w:val="14"/>
                <w:color w:val="auto"/>
              </w:rPr>
              <w:t>Change in average selling price and sales mix</w:t>
            </w:r>
          </w:p>
        </w:tc>
        <w:tc>
          <w:tcPr>
            <w:tcW w:w="78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(479)</w:t>
            </w:r>
          </w:p>
        </w:tc>
      </w:tr>
      <w:tr>
        <w:trPr>
          <w:trHeight w:val="155"/>
        </w:trPr>
        <w:tc>
          <w:tcPr>
            <w:tcW w:w="9140" w:type="dxa"/>
            <w:vAlign w:val="bottom"/>
            <w:tcBorders>
              <w:top w:val="single" w:sz="8" w:color="CFF0FC"/>
            </w:tcBorders>
          </w:tcPr>
          <w:p>
            <w:pPr>
              <w:spacing w:after="0" w:line="155" w:lineRule="exact"/>
              <w:rPr>
                <w:sz w:val="20"/>
                <w:szCs w:val="20"/>
                <w:color w:val="auto"/>
              </w:rPr>
            </w:pPr>
            <w:r>
              <w:rPr>
                <w:rFonts w:ascii="Arial" w:cs="Arial" w:eastAsia="Arial" w:hAnsi="Arial"/>
                <w:sz w:val="14"/>
                <w:szCs w:val="14"/>
                <w:color w:val="auto"/>
              </w:rPr>
              <w:t>Net sales for the current period</w:t>
            </w:r>
          </w:p>
        </w:tc>
        <w:tc>
          <w:tcPr>
            <w:tcW w:w="780" w:type="dxa"/>
            <w:vAlign w:val="bottom"/>
            <w:tcBorders>
              <w:top w:val="single" w:sz="8" w:color="auto"/>
              <w:bottom w:val="single" w:sz="8" w:color="auto"/>
            </w:tcBorders>
          </w:tcPr>
          <w:p>
            <w:pPr>
              <w:jc w:val="right"/>
              <w:ind w:right="62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78,343</w:t>
            </w:r>
          </w:p>
        </w:tc>
        <w:tc>
          <w:tcPr>
            <w:tcW w:w="120" w:type="dxa"/>
            <w:vAlign w:val="bottom"/>
            <w:tcBorders>
              <w:top w:val="single" w:sz="8" w:color="CFF0FC"/>
            </w:tcBorders>
          </w:tcPr>
          <w:p>
            <w:pPr>
              <w:spacing w:after="0"/>
              <w:rPr>
                <w:sz w:val="13"/>
                <w:szCs w:val="13"/>
                <w:color w:val="auto"/>
              </w:rPr>
            </w:pPr>
          </w:p>
        </w:tc>
      </w:tr>
      <w:tr>
        <w:trPr>
          <w:trHeight w:val="20"/>
        </w:trPr>
        <w:tc>
          <w:tcPr>
            <w:tcW w:w="9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-136525</wp:posOffset>
            </wp:positionV>
            <wp:extent cx="7747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8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decrease in net sales for the Americas Segment from the prior period to the current period was primarily attributable to (i) lower sales volumes and (ii) a lower-priced sales mix.</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140" w:type="dxa"/>
            <w:vAlign w:val="bottom"/>
          </w:tcPr>
          <w:p>
            <w:pPr>
              <w:spacing w:after="0"/>
              <w:rPr>
                <w:sz w:val="20"/>
                <w:szCs w:val="20"/>
                <w:color w:val="auto"/>
              </w:rPr>
            </w:pPr>
            <w:r>
              <w:rPr>
                <w:rFonts w:ascii="Arial" w:cs="Arial" w:eastAsia="Arial" w:hAnsi="Arial"/>
                <w:sz w:val="14"/>
                <w:szCs w:val="14"/>
                <w:color w:val="auto"/>
              </w:rPr>
              <w:t>The change in Segment (Loss) Profit for the Americas Segment was as follows:</w:t>
            </w:r>
          </w:p>
        </w:tc>
        <w:tc>
          <w:tcPr>
            <w:tcW w:w="8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89"/>
        </w:trPr>
        <w:tc>
          <w:tcPr>
            <w:tcW w:w="9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162"/>
        </w:trPr>
        <w:tc>
          <w:tcPr>
            <w:tcW w:w="9140" w:type="dxa"/>
            <w:vAlign w:val="bottom"/>
            <w:shd w:val="clear" w:color="auto" w:fill="CFF0FC"/>
          </w:tcPr>
          <w:p>
            <w:pPr>
              <w:spacing w:after="0"/>
              <w:rPr>
                <w:sz w:val="20"/>
                <w:szCs w:val="20"/>
                <w:color w:val="auto"/>
              </w:rPr>
            </w:pPr>
            <w:r>
              <w:rPr>
                <w:rFonts w:ascii="Arial" w:cs="Arial" w:eastAsia="Arial" w:hAnsi="Arial"/>
                <w:sz w:val="14"/>
                <w:szCs w:val="14"/>
                <w:color w:val="auto"/>
              </w:rPr>
              <w:t>Segment Loss for the prior period</w:t>
            </w:r>
          </w:p>
        </w:tc>
        <w:tc>
          <w:tcPr>
            <w:tcW w:w="800" w:type="dxa"/>
            <w:vAlign w:val="bottom"/>
            <w:shd w:val="clear" w:color="auto" w:fill="CFF0FC"/>
          </w:tcPr>
          <w:p>
            <w:pPr>
              <w:jc w:val="right"/>
              <w:ind w:right="648"/>
              <w:spacing w:after="0"/>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(1,706)</w:t>
            </w:r>
          </w:p>
        </w:tc>
      </w:tr>
      <w:tr>
        <w:trPr>
          <w:trHeight w:val="162"/>
        </w:trPr>
        <w:tc>
          <w:tcPr>
            <w:tcW w:w="9140" w:type="dxa"/>
            <w:vAlign w:val="bottom"/>
          </w:tcPr>
          <w:p>
            <w:pPr>
              <w:spacing w:after="0"/>
              <w:rPr>
                <w:sz w:val="20"/>
                <w:szCs w:val="20"/>
                <w:color w:val="auto"/>
              </w:rPr>
            </w:pPr>
            <w:r>
              <w:rPr>
                <w:rFonts w:ascii="Arial" w:cs="Arial" w:eastAsia="Arial" w:hAnsi="Arial"/>
                <w:sz w:val="14"/>
                <w:szCs w:val="14"/>
                <w:color w:val="auto"/>
              </w:rPr>
              <w:t>Increase in underlying unit margins</w:t>
            </w:r>
          </w:p>
        </w:tc>
        <w:tc>
          <w:tcPr>
            <w:tcW w:w="8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10,271</w:t>
            </w:r>
          </w:p>
        </w:tc>
        <w:tc>
          <w:tcPr>
            <w:tcW w:w="120" w:type="dxa"/>
            <w:vAlign w:val="bottom"/>
          </w:tcPr>
          <w:p>
            <w:pPr>
              <w:spacing w:after="0"/>
              <w:rPr>
                <w:sz w:val="14"/>
                <w:szCs w:val="14"/>
                <w:color w:val="auto"/>
              </w:rPr>
            </w:pPr>
          </w:p>
        </w:tc>
      </w:tr>
      <w:tr>
        <w:trPr>
          <w:trHeight w:val="195"/>
        </w:trPr>
        <w:tc>
          <w:tcPr>
            <w:tcW w:w="914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Segment Profit for the current period</w:t>
            </w:r>
          </w:p>
        </w:tc>
        <w:tc>
          <w:tcPr>
            <w:tcW w:w="800" w:type="dxa"/>
            <w:vAlign w:val="bottom"/>
            <w:tcBorders>
              <w:bottom w:val="single" w:sz="8" w:color="auto"/>
            </w:tcBorders>
            <w:shd w:val="clear" w:color="auto" w:fill="CFF0FC"/>
          </w:tcPr>
          <w:p>
            <w:pPr>
              <w:jc w:val="right"/>
              <w:ind w:right="6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8,565</w:t>
            </w:r>
          </w:p>
        </w:tc>
        <w:tc>
          <w:tcPr>
            <w:tcW w:w="12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87"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The increase in Segment Profit for the Americas Segment from the prior period to the current period was primarily attributable to cost-saving initiatives and productivity improvements, including reductions in manufacturing costs from the consolidation of Americas yarn manufacturing operations and the Fiscal 2026 Profit Improvement Plan.</w:t>
      </w: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Brazil Segment</w:t>
      </w:r>
    </w:p>
    <w:p>
      <w:pPr>
        <w:spacing w:after="0" w:line="107"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The components of Segment Profit, each component as a percentage of net sales, and the percentage increase or decrease over the prior period amounts for the Brazil Segment,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For the Three Months Ended</w:t>
            </w:r>
          </w:p>
        </w:tc>
        <w:tc>
          <w:tcPr>
            <w:tcW w:w="12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3"/>
          </w:tcPr>
          <w:p>
            <w:pPr>
              <w:jc w:val="right"/>
              <w:ind w:right="768"/>
              <w:spacing w:after="0" w:line="155" w:lineRule="exact"/>
              <w:rPr>
                <w:sz w:val="20"/>
                <w:szCs w:val="20"/>
                <w:color w:val="auto"/>
              </w:rPr>
            </w:pPr>
            <w:r>
              <w:rPr>
                <w:rFonts w:ascii="Arial" w:cs="Arial" w:eastAsia="Arial" w:hAnsi="Arial"/>
                <w:sz w:val="14"/>
                <w:szCs w:val="14"/>
                <w:b w:val="1"/>
                <w:bCs w:val="1"/>
                <w:color w:val="auto"/>
              </w:rPr>
              <w:t>March 29, 2026</w:t>
            </w:r>
          </w:p>
        </w:tc>
        <w:tc>
          <w:tcPr>
            <w:tcW w:w="2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3"/>
          </w:tcPr>
          <w:p>
            <w:pPr>
              <w:jc w:val="right"/>
              <w:ind w:right="728"/>
              <w:spacing w:after="0" w:line="155" w:lineRule="exact"/>
              <w:rPr>
                <w:sz w:val="20"/>
                <w:szCs w:val="20"/>
                <w:color w:val="auto"/>
              </w:rPr>
            </w:pPr>
            <w:r>
              <w:rPr>
                <w:rFonts w:ascii="Arial" w:cs="Arial" w:eastAsia="Arial" w:hAnsi="Arial"/>
                <w:sz w:val="14"/>
                <w:szCs w:val="14"/>
                <w:b w:val="1"/>
                <w:bCs w:val="1"/>
                <w:color w:val="auto"/>
              </w:rPr>
              <w:t>March 30, 2025</w:t>
            </w:r>
          </w:p>
        </w:tc>
        <w:tc>
          <w:tcPr>
            <w:tcW w:w="1480" w:type="dxa"/>
            <w:vAlign w:val="bottom"/>
            <w:gridSpan w:val="2"/>
            <w:vMerge w:val="restart"/>
          </w:tcPr>
          <w:p>
            <w:pPr>
              <w:jc w:val="right"/>
              <w:ind w:right="50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jc w:val="right"/>
              <w:ind w:right="408"/>
              <w:spacing w:after="0" w:line="147" w:lineRule="exact"/>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jc w:val="right"/>
              <w:ind w:right="388"/>
              <w:spacing w:after="0" w:line="147" w:lineRule="exact"/>
              <w:rPr>
                <w:sz w:val="20"/>
                <w:szCs w:val="20"/>
                <w:color w:val="auto"/>
              </w:rPr>
            </w:pPr>
            <w:r>
              <w:rPr>
                <w:rFonts w:ascii="Arial" w:cs="Arial" w:eastAsia="Arial" w:hAnsi="Arial"/>
                <w:sz w:val="14"/>
                <w:szCs w:val="14"/>
                <w:b w:val="1"/>
                <w:bCs w:val="1"/>
                <w:color w:val="auto"/>
              </w:rPr>
              <w:t>% of</w:t>
            </w:r>
          </w:p>
        </w:tc>
        <w:tc>
          <w:tcPr>
            <w:tcW w:w="14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Net Sales</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Net Sales</w:t>
            </w:r>
          </w:p>
        </w:tc>
        <w:tc>
          <w:tcPr>
            <w:tcW w:w="220" w:type="dxa"/>
            <w:vAlign w:val="bottom"/>
          </w:tcPr>
          <w:p>
            <w:pPr>
              <w:spacing w:after="0"/>
              <w:rPr>
                <w:sz w:val="14"/>
                <w:szCs w:val="14"/>
                <w:color w:val="auto"/>
              </w:rPr>
            </w:pPr>
          </w:p>
        </w:tc>
        <w:tc>
          <w:tcPr>
            <w:tcW w:w="12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Net sales</w:t>
            </w:r>
          </w:p>
        </w:tc>
        <w:tc>
          <w:tcPr>
            <w:tcW w:w="380" w:type="dxa"/>
            <w:vAlign w:val="bottom"/>
            <w:shd w:val="clear" w:color="auto" w:fill="CFF0FC"/>
          </w:tcPr>
          <w:p>
            <w:pPr>
              <w:jc w:val="right"/>
              <w:ind w:right="228"/>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29,112</w:t>
            </w:r>
          </w:p>
        </w:tc>
        <w:tc>
          <w:tcPr>
            <w:tcW w:w="24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100.0</w:t>
            </w:r>
          </w:p>
        </w:tc>
        <w:tc>
          <w:tcPr>
            <w:tcW w:w="620" w:type="dxa"/>
            <w:vAlign w:val="bottom"/>
            <w:gridSpan w:val="2"/>
            <w:shd w:val="clear" w:color="auto" w:fill="CFF0FC"/>
          </w:tcPr>
          <w:p>
            <w:pPr>
              <w:jc w:val="right"/>
              <w:ind w:right="228"/>
              <w:spacing w:after="0" w:line="155" w:lineRule="exact"/>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28,124</w:t>
            </w:r>
          </w:p>
        </w:tc>
        <w:tc>
          <w:tcPr>
            <w:tcW w:w="26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100.0</w:t>
            </w:r>
          </w:p>
        </w:tc>
        <w:tc>
          <w:tcPr>
            <w:tcW w:w="148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3.5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20" w:type="dxa"/>
            <w:vAlign w:val="bottom"/>
          </w:tcPr>
          <w:p>
            <w:pPr>
              <w:spacing w:after="0"/>
              <w:rPr>
                <w:sz w:val="20"/>
                <w:szCs w:val="20"/>
                <w:color w:val="auto"/>
              </w:rPr>
            </w:pPr>
            <w:r>
              <w:rPr>
                <w:rFonts w:ascii="Arial" w:cs="Arial" w:eastAsia="Arial" w:hAnsi="Arial"/>
                <w:sz w:val="14"/>
                <w:szCs w:val="14"/>
                <w:color w:val="auto"/>
              </w:rPr>
              <w:t>Cost of sales</w:t>
            </w: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26,361</w:t>
            </w:r>
          </w:p>
        </w:tc>
        <w:tc>
          <w:tcPr>
            <w:tcW w:w="240" w:type="dxa"/>
            <w:vAlign w:val="bottom"/>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90.6</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25,136</w:t>
            </w:r>
          </w:p>
        </w:tc>
        <w:tc>
          <w:tcPr>
            <w:tcW w:w="260" w:type="dxa"/>
            <w:vAlign w:val="bottom"/>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89.4</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Gross profit</w:t>
            </w:r>
          </w:p>
        </w:tc>
        <w:tc>
          <w:tcPr>
            <w:tcW w:w="38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2,751</w:t>
            </w:r>
          </w:p>
        </w:tc>
        <w:tc>
          <w:tcPr>
            <w:tcW w:w="24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9.4</w:t>
            </w:r>
          </w:p>
        </w:tc>
        <w:tc>
          <w:tcPr>
            <w:tcW w:w="2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2,988</w:t>
            </w:r>
          </w:p>
        </w:tc>
        <w:tc>
          <w:tcPr>
            <w:tcW w:w="26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10.6</w:t>
            </w:r>
          </w:p>
        </w:tc>
        <w:tc>
          <w:tcPr>
            <w:tcW w:w="1600" w:type="dxa"/>
            <w:vAlign w:val="bottom"/>
            <w:gridSpan w:val="3"/>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62"/>
        </w:trPr>
        <w:tc>
          <w:tcPr>
            <w:tcW w:w="4120" w:type="dxa"/>
            <w:vAlign w:val="bottom"/>
          </w:tcPr>
          <w:p>
            <w:pPr>
              <w:spacing w:after="0"/>
              <w:rPr>
                <w:sz w:val="20"/>
                <w:szCs w:val="20"/>
                <w:color w:val="auto"/>
              </w:rPr>
            </w:pPr>
            <w:r>
              <w:rPr>
                <w:rFonts w:ascii="Arial" w:cs="Arial" w:eastAsia="Arial" w:hAnsi="Arial"/>
                <w:sz w:val="14"/>
                <w:szCs w:val="14"/>
                <w:color w:val="auto"/>
              </w:rPr>
              <w:t>Depreciation expense</w:t>
            </w: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929</w:t>
            </w:r>
          </w:p>
        </w:tc>
        <w:tc>
          <w:tcPr>
            <w:tcW w:w="240" w:type="dxa"/>
            <w:vAlign w:val="bottom"/>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701</w:t>
            </w:r>
          </w:p>
        </w:tc>
        <w:tc>
          <w:tcPr>
            <w:tcW w:w="260" w:type="dxa"/>
            <w:vAlign w:val="bottom"/>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32.5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12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Segment Profit</w:t>
            </w:r>
          </w:p>
        </w:tc>
        <w:tc>
          <w:tcPr>
            <w:tcW w:w="380" w:type="dxa"/>
            <w:vAlign w:val="bottom"/>
            <w:tcBorders>
              <w:bottom w:val="single" w:sz="8" w:color="auto"/>
            </w:tcBorders>
            <w:shd w:val="clear" w:color="auto" w:fill="CFF0FC"/>
          </w:tcPr>
          <w:p>
            <w:pPr>
              <w:jc w:val="right"/>
              <w:ind w:right="228"/>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3,680</w:t>
            </w:r>
          </w:p>
        </w:tc>
        <w:tc>
          <w:tcPr>
            <w:tcW w:w="24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12.6</w:t>
            </w:r>
          </w:p>
        </w:tc>
        <w:tc>
          <w:tcPr>
            <w:tcW w:w="24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jc w:val="right"/>
              <w:ind w:right="228"/>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3,689</w:t>
            </w:r>
          </w:p>
        </w:tc>
        <w:tc>
          <w:tcPr>
            <w:tcW w:w="26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13.1</w:t>
            </w:r>
          </w:p>
        </w:tc>
        <w:tc>
          <w:tcPr>
            <w:tcW w:w="1600" w:type="dxa"/>
            <w:vAlign w:val="bottom"/>
            <w:tcBorders>
              <w:bottom w:val="single" w:sz="8" w:color="CFF0FC"/>
            </w:tcBorders>
            <w:gridSpan w:val="3"/>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-24765</wp:posOffset>
            </wp:positionV>
            <wp:extent cx="9461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-7620</wp:posOffset>
            </wp:positionV>
            <wp:extent cx="9461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-24765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-7620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-24765</wp:posOffset>
            </wp:positionV>
            <wp:extent cx="939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-7620</wp:posOffset>
            </wp:positionV>
            <wp:extent cx="939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Segment net sales as a percentage of</w:t>
            </w:r>
          </w:p>
        </w:tc>
        <w:tc>
          <w:tcPr>
            <w:tcW w:w="294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62"/>
        </w:trPr>
        <w:tc>
          <w:tcPr>
            <w:tcW w:w="3700" w:type="dxa"/>
            <w:vAlign w:val="bottom"/>
          </w:tcPr>
          <w:p>
            <w:pPr>
              <w:ind w:left="120"/>
              <w:spacing w:after="0"/>
              <w:rPr>
                <w:sz w:val="20"/>
                <w:szCs w:val="20"/>
                <w:color w:val="auto"/>
              </w:rPr>
            </w:pPr>
            <w:r>
              <w:rPr>
                <w:rFonts w:ascii="Arial" w:cs="Arial" w:eastAsia="Arial" w:hAnsi="Arial"/>
                <w:sz w:val="14"/>
                <w:szCs w:val="14"/>
                <w:color w:val="auto"/>
              </w:rPr>
              <w:t>consolidated amounts</w:t>
            </w:r>
          </w:p>
        </w:tc>
        <w:tc>
          <w:tcPr>
            <w:tcW w:w="2940" w:type="dxa"/>
            <w:vAlign w:val="bottom"/>
          </w:tcPr>
          <w:p>
            <w:pPr>
              <w:jc w:val="right"/>
              <w:ind w:right="1168"/>
              <w:spacing w:after="0"/>
              <w:rPr>
                <w:sz w:val="20"/>
                <w:szCs w:val="20"/>
                <w:color w:val="auto"/>
              </w:rPr>
            </w:pPr>
            <w:r>
              <w:rPr>
                <w:rFonts w:ascii="Arial" w:cs="Arial" w:eastAsia="Arial" w:hAnsi="Arial"/>
                <w:sz w:val="14"/>
                <w:szCs w:val="14"/>
                <w:color w:val="auto"/>
              </w:rPr>
              <w:t>22.4%</w:t>
            </w:r>
          </w:p>
        </w:tc>
        <w:tc>
          <w:tcPr>
            <w:tcW w:w="1660" w:type="dxa"/>
            <w:vAlign w:val="bottom"/>
          </w:tcPr>
          <w:p>
            <w:pPr>
              <w:jc w:val="right"/>
              <w:spacing w:after="0"/>
              <w:rPr>
                <w:sz w:val="20"/>
                <w:szCs w:val="20"/>
                <w:color w:val="auto"/>
              </w:rPr>
            </w:pPr>
            <w:r>
              <w:rPr>
                <w:rFonts w:ascii="Arial" w:cs="Arial" w:eastAsia="Arial" w:hAnsi="Arial"/>
                <w:sz w:val="14"/>
                <w:szCs w:val="14"/>
                <w:color w:val="auto"/>
              </w:rPr>
              <w:t>19.2%</w:t>
            </w: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Segment Profit as a percentage of</w:t>
            </w:r>
          </w:p>
        </w:tc>
        <w:tc>
          <w:tcPr>
            <w:tcW w:w="294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90"/>
        </w:trPr>
        <w:tc>
          <w:tcPr>
            <w:tcW w:w="3700" w:type="dxa"/>
            <w:vAlign w:val="bottom"/>
          </w:tcPr>
          <w:p>
            <w:pPr>
              <w:ind w:left="120"/>
              <w:spacing w:after="0"/>
              <w:rPr>
                <w:sz w:val="20"/>
                <w:szCs w:val="20"/>
                <w:color w:val="auto"/>
              </w:rPr>
            </w:pPr>
            <w:r>
              <w:rPr>
                <w:rFonts w:ascii="Arial" w:cs="Arial" w:eastAsia="Arial" w:hAnsi="Arial"/>
                <w:sz w:val="14"/>
                <w:szCs w:val="14"/>
                <w:color w:val="auto"/>
              </w:rPr>
              <w:t>consolidated amounts</w:t>
            </w:r>
          </w:p>
        </w:tc>
        <w:tc>
          <w:tcPr>
            <w:tcW w:w="2940" w:type="dxa"/>
            <w:vAlign w:val="bottom"/>
          </w:tcPr>
          <w:p>
            <w:pPr>
              <w:jc w:val="right"/>
              <w:ind w:right="1168"/>
              <w:spacing w:after="0"/>
              <w:rPr>
                <w:sz w:val="20"/>
                <w:szCs w:val="20"/>
                <w:color w:val="auto"/>
              </w:rPr>
            </w:pPr>
            <w:r>
              <w:rPr>
                <w:rFonts w:ascii="Arial" w:cs="Arial" w:eastAsia="Arial" w:hAnsi="Arial"/>
                <w:sz w:val="14"/>
                <w:szCs w:val="14"/>
                <w:color w:val="auto"/>
              </w:rPr>
              <w:t>24.5%</w:t>
            </w:r>
          </w:p>
        </w:tc>
        <w:tc>
          <w:tcPr>
            <w:tcW w:w="1660" w:type="dxa"/>
            <w:vAlign w:val="bottom"/>
          </w:tcPr>
          <w:p>
            <w:pPr>
              <w:jc w:val="right"/>
              <w:spacing w:after="0"/>
              <w:rPr>
                <w:sz w:val="20"/>
                <w:szCs w:val="20"/>
                <w:color w:val="auto"/>
              </w:rPr>
            </w:pPr>
            <w:r>
              <w:rPr>
                <w:rFonts w:ascii="Arial" w:cs="Arial" w:eastAsia="Arial" w:hAnsi="Arial"/>
                <w:sz w:val="14"/>
                <w:szCs w:val="14"/>
                <w:color w:val="auto"/>
              </w:rPr>
              <w:t>66.8%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2057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The change in net sales for the Brazil Segment was as follows: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Net sales for the prior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0287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Favorable foreign currency translation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0287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Increase in sales volumes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Decrease in average selling price and change in sales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2890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Net sales for the current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800" w:type="dxa"/>
            <w:vAlign w:val="bottom"/>
          </w:tcPr>
          <w:p>
            <w:pPr>
              <w:jc w:val="right"/>
              <w:ind w:right="64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28,124</w:t>
            </w:r>
          </w:p>
        </w:tc>
        <w:tc>
          <w:tcPr>
            <w:tcW w:w="40" w:type="dxa"/>
            <w:vAlign w:val="bottom"/>
          </w:tcPr>
          <w:p>
            <w:pPr>
              <w:spacing w:after="0"/>
              <w:rPr>
                <w:sz w:val="14"/>
                <w:szCs w:val="14"/>
                <w:color w:val="auto"/>
              </w:rPr>
            </w:pPr>
          </w:p>
        </w:tc>
      </w:tr>
      <w:tr>
        <w:trPr>
          <w:trHeight w:val="162"/>
        </w:trPr>
        <w:tc>
          <w:tcPr>
            <w:tcW w:w="8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3,151</w:t>
            </w:r>
          </w:p>
        </w:tc>
        <w:tc>
          <w:tcPr>
            <w:tcW w:w="40" w:type="dxa"/>
            <w:vAlign w:val="bottom"/>
          </w:tcPr>
          <w:p>
            <w:pPr>
              <w:spacing w:after="0"/>
              <w:rPr>
                <w:sz w:val="14"/>
                <w:szCs w:val="14"/>
                <w:color w:val="auto"/>
              </w:rPr>
            </w:pPr>
          </w:p>
        </w:tc>
      </w:tr>
      <w:tr>
        <w:trPr>
          <w:trHeight w:val="162"/>
        </w:trPr>
        <w:tc>
          <w:tcPr>
            <w:tcW w:w="8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943</w:t>
            </w:r>
          </w:p>
        </w:tc>
        <w:tc>
          <w:tcPr>
            <w:tcW w:w="40" w:type="dxa"/>
            <w:vAlign w:val="bottom"/>
          </w:tcPr>
          <w:p>
            <w:pPr>
              <w:spacing w:after="0"/>
              <w:rPr>
                <w:sz w:val="14"/>
                <w:szCs w:val="14"/>
                <w:color w:val="auto"/>
              </w:rPr>
            </w:pPr>
          </w:p>
        </w:tc>
      </w:tr>
      <w:tr>
        <w:trPr>
          <w:trHeight w:val="171"/>
        </w:trPr>
        <w:tc>
          <w:tcPr>
            <w:tcW w:w="80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(3,106)</w:t>
            </w:r>
          </w:p>
        </w:tc>
      </w:tr>
      <w:tr>
        <w:trPr>
          <w:trHeight w:val="156"/>
        </w:trPr>
        <w:tc>
          <w:tcPr>
            <w:tcW w:w="800" w:type="dxa"/>
            <w:vAlign w:val="bottom"/>
            <w:tcBorders>
              <w:top w:val="single" w:sz="8" w:color="auto"/>
              <w:bottom w:val="single" w:sz="8" w:color="auto"/>
            </w:tcBorders>
          </w:tcPr>
          <w:p>
            <w:pPr>
              <w:jc w:val="right"/>
              <w:ind w:right="6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29,112</w:t>
            </w:r>
          </w:p>
        </w:tc>
        <w:tc>
          <w:tcPr>
            <w:tcW w:w="40" w:type="dxa"/>
            <w:vAlign w:val="bottom"/>
          </w:tcPr>
          <w:p>
            <w:pPr>
              <w:spacing w:after="0"/>
              <w:rPr>
                <w:sz w:val="13"/>
                <w:szCs w:val="13"/>
                <w:color w:val="auto"/>
              </w:rPr>
            </w:pP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420" w:space="720"/>
            <w:col w:w="2100"/>
          </w:cols>
          <w:pgMar w:left="320" w:top="1210" w:right="339" w:bottom="1440" w:gutter="0" w:footer="0" w:header="0"/>
          <w:type w:val="continuous"/>
        </w:sectPr>
      </w:pPr>
    </w:p>
    <w:p>
      <w:pPr>
        <w:spacing w:after="0" w:line="7" w:lineRule="exact"/>
        <w:rPr>
          <w:sz w:val="20"/>
          <w:szCs w:val="20"/>
          <w:color w:val="auto"/>
        </w:rPr>
      </w:pPr>
    </w:p>
    <w:p>
      <w:pPr>
        <w:spacing w:after="0" w:line="285" w:lineRule="auto"/>
        <w:rPr>
          <w:sz w:val="20"/>
          <w:szCs w:val="20"/>
          <w:color w:val="auto"/>
        </w:rPr>
      </w:pPr>
      <w:r>
        <w:rPr>
          <w:rFonts w:ascii="Arial" w:cs="Arial" w:eastAsia="Arial" w:hAnsi="Arial"/>
          <w:sz w:val="14"/>
          <w:szCs w:val="14"/>
          <w:color w:val="auto"/>
        </w:rPr>
        <w:t>The increase in net sales for the Brazil Segment from the prior period to the current period was primarily attributable to (i) favorable foreign currency translation effects from the strengthening of the BRL versus the USD and (ii) higher sales volumes, partially offset by lower selling prices associated with competitive import pricing pressures.</w:t>
      </w:r>
    </w:p>
    <w:p>
      <w:pPr>
        <w:sectPr>
          <w:pgSz w:w="11900" w:h="16838" w:orient="portrait"/>
          <w:cols w:equalWidth="0" w:num="1">
            <w:col w:w="11240"/>
          </w:cols>
          <w:pgMar w:left="320" w:top="1210" w:right="339" w:bottom="1440" w:gutter="0" w:footer="0" w:header="0"/>
          <w:type w:val="continuous"/>
        </w:sectPr>
      </w:pP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color w:val="auto"/>
        </w:rPr>
        <w:t>The change in Segment Profit for the Brazil Segment was as follows: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Segment Profit for the prior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0287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Decrease in underlying unit margins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0287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Favorable foreign currency translation effects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Increase in sales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2827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12827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Segment Profit for the current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840" w:type="dxa"/>
            <w:vAlign w:val="bottom"/>
          </w:tcPr>
          <w:p>
            <w:pPr>
              <w:jc w:val="right"/>
              <w:ind w:right="68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3,689</w:t>
            </w:r>
          </w:p>
        </w:tc>
        <w:tc>
          <w:tcPr>
            <w:tcW w:w="40" w:type="dxa"/>
            <w:vAlign w:val="bottom"/>
          </w:tcPr>
          <w:p>
            <w:pPr>
              <w:spacing w:after="0"/>
              <w:rPr>
                <w:sz w:val="14"/>
                <w:szCs w:val="14"/>
                <w:color w:val="auto"/>
              </w:rPr>
            </w:pPr>
          </w:p>
        </w:tc>
      </w:tr>
      <w:tr>
        <w:trPr>
          <w:trHeight w:val="162"/>
        </w:trPr>
        <w:tc>
          <w:tcPr>
            <w:tcW w:w="84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(549)</w:t>
            </w:r>
          </w:p>
        </w:tc>
      </w:tr>
      <w:tr>
        <w:trPr>
          <w:trHeight w:val="162"/>
        </w:trPr>
        <w:tc>
          <w:tcPr>
            <w:tcW w:w="8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416</w:t>
            </w:r>
          </w:p>
        </w:tc>
        <w:tc>
          <w:tcPr>
            <w:tcW w:w="40" w:type="dxa"/>
            <w:vAlign w:val="bottom"/>
          </w:tcPr>
          <w:p>
            <w:pPr>
              <w:spacing w:after="0"/>
              <w:rPr>
                <w:sz w:val="14"/>
                <w:szCs w:val="14"/>
                <w:color w:val="auto"/>
              </w:rPr>
            </w:pPr>
          </w:p>
        </w:tc>
      </w:tr>
      <w:tr>
        <w:trPr>
          <w:trHeight w:val="171"/>
        </w:trPr>
        <w:tc>
          <w:tcPr>
            <w:tcW w:w="8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w:t>
            </w:r>
          </w:p>
        </w:tc>
        <w:tc>
          <w:tcPr>
            <w:tcW w:w="40" w:type="dxa"/>
            <w:vAlign w:val="bottom"/>
          </w:tcPr>
          <w:p>
            <w:pPr>
              <w:spacing w:after="0"/>
              <w:rPr>
                <w:sz w:val="14"/>
                <w:szCs w:val="14"/>
                <w:color w:val="auto"/>
              </w:rPr>
            </w:pPr>
          </w:p>
        </w:tc>
      </w:tr>
      <w:tr>
        <w:trPr>
          <w:trHeight w:val="155"/>
        </w:trPr>
        <w:tc>
          <w:tcPr>
            <w:tcW w:w="840" w:type="dxa"/>
            <w:vAlign w:val="bottom"/>
            <w:tcBorders>
              <w:bottom w:val="single" w:sz="8" w:color="auto"/>
            </w:tcBorders>
          </w:tcPr>
          <w:p>
            <w:pPr>
              <w:jc w:val="right"/>
              <w:ind w:right="68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3,680</w:t>
            </w:r>
          </w:p>
        </w:tc>
        <w:tc>
          <w:tcPr>
            <w:tcW w:w="40" w:type="dxa"/>
            <w:vAlign w:val="bottom"/>
          </w:tcPr>
          <w:p>
            <w:pPr>
              <w:spacing w:after="0"/>
              <w:rPr>
                <w:sz w:val="13"/>
                <w:szCs w:val="13"/>
                <w:color w:val="auto"/>
              </w:rPr>
            </w:pPr>
          </w:p>
        </w:tc>
      </w:tr>
      <w:tr>
        <w:trPr>
          <w:trHeight w:val="20"/>
        </w:trPr>
        <w:tc>
          <w:tcPr>
            <w:tcW w:w="8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420" w:space="720"/>
            <w:col w:w="2100"/>
          </w:cols>
          <w:pgMar w:left="320" w:top="1210" w:right="339" w:bottom="1440" w:gutter="0" w:footer="0" w:header="0"/>
          <w:type w:val="continuous"/>
        </w:sectPr>
      </w:pPr>
    </w:p>
    <w:p>
      <w:pPr>
        <w:spacing w:after="0" w:line="7"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Segment Profit for the Brazil Segment was flat from the prior period to the current period as lower conversion margins primarily due to sales mix and pricing pressures were mostly offset by favorable foreign currency translation effects from the strengthening of the BRL versus the USD and an increase in sales volumes. We continue to prioritize innovation and differentiation to improve our portfolio and competitive position in Brazil.</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4"/>
          <w:szCs w:val="14"/>
          <w:b w:val="1"/>
          <w:bCs w:val="1"/>
          <w:i w:val="1"/>
          <w:iCs w:val="1"/>
          <w:color w:val="auto"/>
        </w:rPr>
        <w:t>Asia Segment</w:t>
      </w:r>
    </w:p>
    <w:p>
      <w:pPr>
        <w:spacing w:after="0" w:line="107" w:lineRule="exact"/>
        <w:rPr>
          <w:sz w:val="20"/>
          <w:szCs w:val="20"/>
          <w:color w:val="auto"/>
        </w:rPr>
      </w:pPr>
    </w:p>
    <w:p>
      <w:pPr>
        <w:spacing w:after="0" w:line="285" w:lineRule="auto"/>
        <w:rPr>
          <w:sz w:val="20"/>
          <w:szCs w:val="20"/>
          <w:color w:val="auto"/>
        </w:rPr>
      </w:pPr>
      <w:r>
        <w:rPr>
          <w:rFonts w:ascii="Arial" w:cs="Arial" w:eastAsia="Arial" w:hAnsi="Arial"/>
          <w:sz w:val="14"/>
          <w:szCs w:val="14"/>
          <w:color w:val="auto"/>
        </w:rPr>
        <w:t>The components of Segment Profit, each component as a percentage of net sales, and the percentage increase or decrease over the prior period amounts for the Asia Segment,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For the Three Months Ended</w:t>
            </w:r>
          </w:p>
        </w:tc>
        <w:tc>
          <w:tcPr>
            <w:tcW w:w="12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3"/>
          </w:tcPr>
          <w:p>
            <w:pPr>
              <w:jc w:val="right"/>
              <w:ind w:right="768"/>
              <w:spacing w:after="0" w:line="155" w:lineRule="exact"/>
              <w:rPr>
                <w:sz w:val="20"/>
                <w:szCs w:val="20"/>
                <w:color w:val="auto"/>
              </w:rPr>
            </w:pPr>
            <w:r>
              <w:rPr>
                <w:rFonts w:ascii="Arial" w:cs="Arial" w:eastAsia="Arial" w:hAnsi="Arial"/>
                <w:sz w:val="14"/>
                <w:szCs w:val="14"/>
                <w:b w:val="1"/>
                <w:bCs w:val="1"/>
                <w:color w:val="auto"/>
              </w:rPr>
              <w:t>March 29, 2026</w:t>
            </w:r>
          </w:p>
        </w:tc>
        <w:tc>
          <w:tcPr>
            <w:tcW w:w="2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3"/>
          </w:tcPr>
          <w:p>
            <w:pPr>
              <w:jc w:val="right"/>
              <w:ind w:right="728"/>
              <w:spacing w:after="0" w:line="155" w:lineRule="exact"/>
              <w:rPr>
                <w:sz w:val="20"/>
                <w:szCs w:val="20"/>
                <w:color w:val="auto"/>
              </w:rPr>
            </w:pPr>
            <w:r>
              <w:rPr>
                <w:rFonts w:ascii="Arial" w:cs="Arial" w:eastAsia="Arial" w:hAnsi="Arial"/>
                <w:sz w:val="14"/>
                <w:szCs w:val="14"/>
                <w:b w:val="1"/>
                <w:bCs w:val="1"/>
                <w:color w:val="auto"/>
              </w:rPr>
              <w:t>March 30, 2025</w:t>
            </w:r>
          </w:p>
        </w:tc>
        <w:tc>
          <w:tcPr>
            <w:tcW w:w="1480" w:type="dxa"/>
            <w:vAlign w:val="bottom"/>
            <w:gridSpan w:val="2"/>
            <w:vMerge w:val="restart"/>
          </w:tcPr>
          <w:p>
            <w:pPr>
              <w:jc w:val="right"/>
              <w:ind w:right="50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jc w:val="right"/>
              <w:ind w:right="408"/>
              <w:spacing w:after="0" w:line="147" w:lineRule="exact"/>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jc w:val="right"/>
              <w:ind w:right="388"/>
              <w:spacing w:after="0" w:line="147" w:lineRule="exact"/>
              <w:rPr>
                <w:sz w:val="20"/>
                <w:szCs w:val="20"/>
                <w:color w:val="auto"/>
              </w:rPr>
            </w:pPr>
            <w:r>
              <w:rPr>
                <w:rFonts w:ascii="Arial" w:cs="Arial" w:eastAsia="Arial" w:hAnsi="Arial"/>
                <w:sz w:val="14"/>
                <w:szCs w:val="14"/>
                <w:b w:val="1"/>
                <w:bCs w:val="1"/>
                <w:color w:val="auto"/>
              </w:rPr>
              <w:t>% of</w:t>
            </w:r>
          </w:p>
        </w:tc>
        <w:tc>
          <w:tcPr>
            <w:tcW w:w="14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Net Sales</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Net Sales</w:t>
            </w:r>
          </w:p>
        </w:tc>
        <w:tc>
          <w:tcPr>
            <w:tcW w:w="220" w:type="dxa"/>
            <w:vAlign w:val="bottom"/>
          </w:tcPr>
          <w:p>
            <w:pPr>
              <w:spacing w:after="0"/>
              <w:rPr>
                <w:sz w:val="14"/>
                <w:szCs w:val="14"/>
                <w:color w:val="auto"/>
              </w:rPr>
            </w:pPr>
          </w:p>
        </w:tc>
        <w:tc>
          <w:tcPr>
            <w:tcW w:w="12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Net sales</w:t>
            </w:r>
          </w:p>
        </w:tc>
        <w:tc>
          <w:tcPr>
            <w:tcW w:w="380" w:type="dxa"/>
            <w:vAlign w:val="bottom"/>
            <w:shd w:val="clear" w:color="auto" w:fill="CFF0FC"/>
          </w:tcPr>
          <w:p>
            <w:pPr>
              <w:jc w:val="right"/>
              <w:ind w:right="228"/>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22,582</w:t>
            </w:r>
          </w:p>
        </w:tc>
        <w:tc>
          <w:tcPr>
            <w:tcW w:w="24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100.0</w:t>
            </w:r>
          </w:p>
        </w:tc>
        <w:tc>
          <w:tcPr>
            <w:tcW w:w="620" w:type="dxa"/>
            <w:vAlign w:val="bottom"/>
            <w:gridSpan w:val="2"/>
            <w:shd w:val="clear" w:color="auto" w:fill="CFF0FC"/>
          </w:tcPr>
          <w:p>
            <w:pPr>
              <w:jc w:val="right"/>
              <w:ind w:right="228"/>
              <w:spacing w:after="0" w:line="155" w:lineRule="exact"/>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24,889</w:t>
            </w:r>
          </w:p>
        </w:tc>
        <w:tc>
          <w:tcPr>
            <w:tcW w:w="26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100.0</w:t>
            </w:r>
          </w:p>
        </w:tc>
        <w:tc>
          <w:tcPr>
            <w:tcW w:w="1600" w:type="dxa"/>
            <w:vAlign w:val="bottom"/>
            <w:gridSpan w:val="3"/>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62"/>
        </w:trPr>
        <w:tc>
          <w:tcPr>
            <w:tcW w:w="4120" w:type="dxa"/>
            <w:vAlign w:val="bottom"/>
          </w:tcPr>
          <w:p>
            <w:pPr>
              <w:spacing w:after="0"/>
              <w:rPr>
                <w:sz w:val="20"/>
                <w:szCs w:val="20"/>
                <w:color w:val="auto"/>
              </w:rPr>
            </w:pPr>
            <w:r>
              <w:rPr>
                <w:rFonts w:ascii="Arial" w:cs="Arial" w:eastAsia="Arial" w:hAnsi="Arial"/>
                <w:sz w:val="14"/>
                <w:szCs w:val="14"/>
                <w:color w:val="auto"/>
              </w:rPr>
              <w:t>Cost of sales</w:t>
            </w: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19,839</w:t>
            </w:r>
          </w:p>
        </w:tc>
        <w:tc>
          <w:tcPr>
            <w:tcW w:w="240" w:type="dxa"/>
            <w:vAlign w:val="bottom"/>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87.9</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21,365</w:t>
            </w:r>
          </w:p>
        </w:tc>
        <w:tc>
          <w:tcPr>
            <w:tcW w:w="260" w:type="dxa"/>
            <w:vAlign w:val="bottom"/>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85.9</w:t>
            </w:r>
          </w:p>
        </w:tc>
        <w:tc>
          <w:tcPr>
            <w:tcW w:w="1600" w:type="dxa"/>
            <w:vAlign w:val="bottom"/>
            <w:gridSpan w:val="3"/>
          </w:tcPr>
          <w:p>
            <w:pPr>
              <w:jc w:val="right"/>
              <w:ind w:right="80"/>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55"/>
        </w:trPr>
        <w:tc>
          <w:tcPr>
            <w:tcW w:w="41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Gross profit</w:t>
            </w:r>
          </w:p>
        </w:tc>
        <w:tc>
          <w:tcPr>
            <w:tcW w:w="38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2,743</w:t>
            </w:r>
          </w:p>
        </w:tc>
        <w:tc>
          <w:tcPr>
            <w:tcW w:w="24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12.1</w:t>
            </w:r>
          </w:p>
        </w:tc>
        <w:tc>
          <w:tcPr>
            <w:tcW w:w="2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3,524</w:t>
            </w:r>
          </w:p>
        </w:tc>
        <w:tc>
          <w:tcPr>
            <w:tcW w:w="26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14.1</w:t>
            </w:r>
          </w:p>
        </w:tc>
        <w:tc>
          <w:tcPr>
            <w:tcW w:w="1600" w:type="dxa"/>
            <w:vAlign w:val="bottom"/>
            <w:gridSpan w:val="3"/>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(22.2)</w:t>
            </w:r>
          </w:p>
        </w:tc>
        <w:tc>
          <w:tcPr>
            <w:tcW w:w="0" w:type="dxa"/>
            <w:vAlign w:val="bottom"/>
          </w:tcPr>
          <w:p>
            <w:pPr>
              <w:spacing w:after="0"/>
              <w:rPr>
                <w:sz w:val="1"/>
                <w:szCs w:val="1"/>
                <w:color w:val="auto"/>
              </w:rPr>
            </w:pPr>
          </w:p>
        </w:tc>
      </w:tr>
      <w:tr>
        <w:trPr>
          <w:trHeight w:val="162"/>
        </w:trPr>
        <w:tc>
          <w:tcPr>
            <w:tcW w:w="4120" w:type="dxa"/>
            <w:vAlign w:val="bottom"/>
          </w:tcPr>
          <w:p>
            <w:pPr>
              <w:spacing w:after="0"/>
              <w:rPr>
                <w:sz w:val="20"/>
                <w:szCs w:val="20"/>
                <w:color w:val="auto"/>
              </w:rPr>
            </w:pPr>
            <w:r>
              <w:rPr>
                <w:rFonts w:ascii="Arial" w:cs="Arial" w:eastAsia="Arial" w:hAnsi="Arial"/>
                <w:sz w:val="14"/>
                <w:szCs w:val="14"/>
                <w:color w:val="auto"/>
              </w:rPr>
              <w:t>Depreciation expense</w:t>
            </w: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240" w:type="dxa"/>
            <w:vAlign w:val="bottom"/>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260" w:type="dxa"/>
            <w:vAlign w:val="bottom"/>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15.4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12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Segment Profit</w:t>
            </w:r>
          </w:p>
        </w:tc>
        <w:tc>
          <w:tcPr>
            <w:tcW w:w="380" w:type="dxa"/>
            <w:vAlign w:val="bottom"/>
            <w:tcBorders>
              <w:bottom w:val="single" w:sz="8" w:color="auto"/>
            </w:tcBorders>
            <w:shd w:val="clear" w:color="auto" w:fill="CFF0FC"/>
          </w:tcPr>
          <w:p>
            <w:pPr>
              <w:jc w:val="right"/>
              <w:ind w:right="228"/>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2,758</w:t>
            </w:r>
          </w:p>
        </w:tc>
        <w:tc>
          <w:tcPr>
            <w:tcW w:w="24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12.2</w:t>
            </w:r>
          </w:p>
        </w:tc>
        <w:tc>
          <w:tcPr>
            <w:tcW w:w="24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jc w:val="right"/>
              <w:ind w:right="228"/>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3,537</w:t>
            </w:r>
          </w:p>
        </w:tc>
        <w:tc>
          <w:tcPr>
            <w:tcW w:w="26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14.2</w:t>
            </w:r>
          </w:p>
        </w:tc>
        <w:tc>
          <w:tcPr>
            <w:tcW w:w="1600" w:type="dxa"/>
            <w:vAlign w:val="bottom"/>
            <w:tcBorders>
              <w:bottom w:val="single" w:sz="8" w:color="CFF0FC"/>
            </w:tcBorders>
            <w:gridSpan w:val="3"/>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-25400</wp:posOffset>
            </wp:positionV>
            <wp:extent cx="9461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-8255</wp:posOffset>
            </wp:positionV>
            <wp:extent cx="9461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-25400</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-8255</wp:posOffset>
            </wp:positionV>
            <wp:extent cx="6858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-25400</wp:posOffset>
            </wp:positionV>
            <wp:extent cx="939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-8255</wp:posOffset>
            </wp:positionV>
            <wp:extent cx="9398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-25400</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-8255</wp:posOffset>
            </wp:positionV>
            <wp:extent cx="6858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320" w:right="339" w:bottom="1440" w:gutter="0" w:footer="0" w:header="0"/>
        </w:sectPr>
      </w:pP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Segment net sales as a percentage of</w:t>
            </w:r>
          </w:p>
        </w:tc>
        <w:tc>
          <w:tcPr>
            <w:tcW w:w="294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62"/>
        </w:trPr>
        <w:tc>
          <w:tcPr>
            <w:tcW w:w="3700" w:type="dxa"/>
            <w:vAlign w:val="bottom"/>
          </w:tcPr>
          <w:p>
            <w:pPr>
              <w:ind w:left="120"/>
              <w:spacing w:after="0"/>
              <w:rPr>
                <w:sz w:val="20"/>
                <w:szCs w:val="20"/>
                <w:color w:val="auto"/>
              </w:rPr>
            </w:pPr>
            <w:r>
              <w:rPr>
                <w:rFonts w:ascii="Arial" w:cs="Arial" w:eastAsia="Arial" w:hAnsi="Arial"/>
                <w:sz w:val="14"/>
                <w:szCs w:val="14"/>
                <w:color w:val="auto"/>
              </w:rPr>
              <w:t>consolidated amounts</w:t>
            </w:r>
          </w:p>
        </w:tc>
        <w:tc>
          <w:tcPr>
            <w:tcW w:w="2940" w:type="dxa"/>
            <w:vAlign w:val="bottom"/>
          </w:tcPr>
          <w:p>
            <w:pPr>
              <w:jc w:val="right"/>
              <w:ind w:right="1168"/>
              <w:spacing w:after="0"/>
              <w:rPr>
                <w:sz w:val="20"/>
                <w:szCs w:val="20"/>
                <w:color w:val="auto"/>
              </w:rPr>
            </w:pPr>
            <w:r>
              <w:rPr>
                <w:rFonts w:ascii="Arial" w:cs="Arial" w:eastAsia="Arial" w:hAnsi="Arial"/>
                <w:sz w:val="14"/>
                <w:szCs w:val="14"/>
                <w:color w:val="auto"/>
              </w:rPr>
              <w:t>17.4%</w:t>
            </w:r>
          </w:p>
        </w:tc>
        <w:tc>
          <w:tcPr>
            <w:tcW w:w="1660" w:type="dxa"/>
            <w:vAlign w:val="bottom"/>
          </w:tcPr>
          <w:p>
            <w:pPr>
              <w:jc w:val="right"/>
              <w:spacing w:after="0"/>
              <w:rPr>
                <w:sz w:val="20"/>
                <w:szCs w:val="20"/>
                <w:color w:val="auto"/>
              </w:rPr>
            </w:pPr>
            <w:r>
              <w:rPr>
                <w:rFonts w:ascii="Arial" w:cs="Arial" w:eastAsia="Arial" w:hAnsi="Arial"/>
                <w:sz w:val="14"/>
                <w:szCs w:val="14"/>
                <w:color w:val="auto"/>
              </w:rPr>
              <w:t>17.0%</w:t>
            </w: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Segment Profit as a percentage of</w:t>
            </w:r>
          </w:p>
        </w:tc>
        <w:tc>
          <w:tcPr>
            <w:tcW w:w="294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90"/>
        </w:trPr>
        <w:tc>
          <w:tcPr>
            <w:tcW w:w="3700" w:type="dxa"/>
            <w:vAlign w:val="bottom"/>
          </w:tcPr>
          <w:p>
            <w:pPr>
              <w:ind w:left="120"/>
              <w:spacing w:after="0"/>
              <w:rPr>
                <w:sz w:val="20"/>
                <w:szCs w:val="20"/>
                <w:color w:val="auto"/>
              </w:rPr>
            </w:pPr>
            <w:r>
              <w:rPr>
                <w:rFonts w:ascii="Arial" w:cs="Arial" w:eastAsia="Arial" w:hAnsi="Arial"/>
                <w:sz w:val="14"/>
                <w:szCs w:val="14"/>
                <w:color w:val="auto"/>
              </w:rPr>
              <w:t>consolidated amounts</w:t>
            </w:r>
          </w:p>
        </w:tc>
        <w:tc>
          <w:tcPr>
            <w:tcW w:w="2940" w:type="dxa"/>
            <w:vAlign w:val="bottom"/>
          </w:tcPr>
          <w:p>
            <w:pPr>
              <w:jc w:val="right"/>
              <w:ind w:right="1168"/>
              <w:spacing w:after="0"/>
              <w:rPr>
                <w:sz w:val="20"/>
                <w:szCs w:val="20"/>
                <w:color w:val="auto"/>
              </w:rPr>
            </w:pPr>
            <w:r>
              <w:rPr>
                <w:rFonts w:ascii="Arial" w:cs="Arial" w:eastAsia="Arial" w:hAnsi="Arial"/>
                <w:sz w:val="14"/>
                <w:szCs w:val="14"/>
                <w:color w:val="auto"/>
              </w:rPr>
              <w:t>18.4%</w:t>
            </w:r>
          </w:p>
        </w:tc>
        <w:tc>
          <w:tcPr>
            <w:tcW w:w="1660" w:type="dxa"/>
            <w:vAlign w:val="bottom"/>
          </w:tcPr>
          <w:p>
            <w:pPr>
              <w:jc w:val="right"/>
              <w:spacing w:after="0"/>
              <w:rPr>
                <w:sz w:val="20"/>
                <w:szCs w:val="20"/>
                <w:color w:val="auto"/>
              </w:rPr>
            </w:pPr>
            <w:r>
              <w:rPr>
                <w:rFonts w:ascii="Arial" w:cs="Arial" w:eastAsia="Arial" w:hAnsi="Arial"/>
                <w:sz w:val="14"/>
                <w:szCs w:val="14"/>
                <w:color w:val="auto"/>
              </w:rPr>
              <w:t>64.1%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2057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The change in net sales for the Asia Segment was as follows: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Net sales for the prior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0287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Change in average selling price and sales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0287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Decrease in sales volumes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Favorable foreign currency translation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2890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Net sales for the current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800" w:type="dxa"/>
            <w:vAlign w:val="bottom"/>
          </w:tcPr>
          <w:p>
            <w:pPr>
              <w:jc w:val="right"/>
              <w:ind w:right="64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24,889</w:t>
            </w:r>
          </w:p>
        </w:tc>
        <w:tc>
          <w:tcPr>
            <w:tcW w:w="40" w:type="dxa"/>
            <w:vAlign w:val="bottom"/>
          </w:tcPr>
          <w:p>
            <w:pPr>
              <w:spacing w:after="0"/>
              <w:rPr>
                <w:sz w:val="14"/>
                <w:szCs w:val="14"/>
                <w:color w:val="auto"/>
              </w:rPr>
            </w:pPr>
          </w:p>
        </w:tc>
      </w:tr>
      <w:tr>
        <w:trPr>
          <w:trHeight w:val="162"/>
        </w:trPr>
        <w:tc>
          <w:tcPr>
            <w:tcW w:w="80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(2,485)</w:t>
            </w:r>
          </w:p>
        </w:tc>
      </w:tr>
      <w:tr>
        <w:trPr>
          <w:trHeight w:val="162"/>
        </w:trPr>
        <w:tc>
          <w:tcPr>
            <w:tcW w:w="80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(999)</w:t>
            </w:r>
          </w:p>
        </w:tc>
      </w:tr>
      <w:tr>
        <w:trPr>
          <w:trHeight w:val="171"/>
        </w:trPr>
        <w:tc>
          <w:tcPr>
            <w:tcW w:w="8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1,177</w:t>
            </w:r>
          </w:p>
        </w:tc>
        <w:tc>
          <w:tcPr>
            <w:tcW w:w="40" w:type="dxa"/>
            <w:vAlign w:val="bottom"/>
          </w:tcPr>
          <w:p>
            <w:pPr>
              <w:spacing w:after="0"/>
              <w:rPr>
                <w:sz w:val="14"/>
                <w:szCs w:val="14"/>
                <w:color w:val="auto"/>
              </w:rPr>
            </w:pPr>
          </w:p>
        </w:tc>
      </w:tr>
      <w:tr>
        <w:trPr>
          <w:trHeight w:val="156"/>
        </w:trPr>
        <w:tc>
          <w:tcPr>
            <w:tcW w:w="800" w:type="dxa"/>
            <w:vAlign w:val="bottom"/>
            <w:tcBorders>
              <w:bottom w:val="single" w:sz="8" w:color="auto"/>
            </w:tcBorders>
          </w:tcPr>
          <w:p>
            <w:pPr>
              <w:jc w:val="right"/>
              <w:ind w:right="6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22,582</w:t>
            </w:r>
          </w:p>
        </w:tc>
        <w:tc>
          <w:tcPr>
            <w:tcW w:w="40" w:type="dxa"/>
            <w:vAlign w:val="bottom"/>
          </w:tcPr>
          <w:p>
            <w:pPr>
              <w:spacing w:after="0"/>
              <w:rPr>
                <w:sz w:val="13"/>
                <w:szCs w:val="13"/>
                <w:color w:val="auto"/>
              </w:rPr>
            </w:pP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420" w:space="720"/>
            <w:col w:w="2100"/>
          </w:cols>
          <w:pgMar w:left="320" w:top="1320" w:right="339" w:bottom="1440" w:gutter="0" w:footer="0" w:header="0"/>
          <w:type w:val="continuous"/>
        </w:sectPr>
      </w:pPr>
    </w:p>
    <w:p>
      <w:pPr>
        <w:spacing w:after="0" w:line="7"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The decrease in net sales for the Asia Segment from the prior period to current period was primarily attributable to (i) a change in sales mix of REPREVE products and (ii) an overall decrease in sales volumes due to geopolitical events, competitive pricing pressures and the continued volatility introduced by tariffs, partially offset by favorable foreign currency translation effects from the strengthening of the RMB versus the USD.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140" w:type="dxa"/>
            <w:vAlign w:val="bottom"/>
          </w:tcPr>
          <w:p>
            <w:pPr>
              <w:spacing w:after="0"/>
              <w:rPr>
                <w:sz w:val="20"/>
                <w:szCs w:val="20"/>
                <w:color w:val="auto"/>
              </w:rPr>
            </w:pPr>
            <w:r>
              <w:rPr>
                <w:rFonts w:ascii="Arial" w:cs="Arial" w:eastAsia="Arial" w:hAnsi="Arial"/>
                <w:sz w:val="14"/>
                <w:szCs w:val="14"/>
                <w:color w:val="auto"/>
              </w:rPr>
              <w:t>The change in Segment Profit for the Asia Segment was as follows:</w:t>
            </w:r>
          </w:p>
        </w:tc>
        <w:tc>
          <w:tcPr>
            <w:tcW w:w="8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89"/>
        </w:trPr>
        <w:tc>
          <w:tcPr>
            <w:tcW w:w="9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162"/>
        </w:trPr>
        <w:tc>
          <w:tcPr>
            <w:tcW w:w="9140" w:type="dxa"/>
            <w:vAlign w:val="bottom"/>
            <w:shd w:val="clear" w:color="auto" w:fill="CFF0FC"/>
          </w:tcPr>
          <w:p>
            <w:pPr>
              <w:spacing w:after="0"/>
              <w:rPr>
                <w:sz w:val="20"/>
                <w:szCs w:val="20"/>
                <w:color w:val="auto"/>
              </w:rPr>
            </w:pPr>
            <w:r>
              <w:rPr>
                <w:rFonts w:ascii="Arial" w:cs="Arial" w:eastAsia="Arial" w:hAnsi="Arial"/>
                <w:sz w:val="14"/>
                <w:szCs w:val="14"/>
                <w:color w:val="auto"/>
              </w:rPr>
              <w:t>Segment Profit for the prior period</w:t>
            </w:r>
          </w:p>
        </w:tc>
        <w:tc>
          <w:tcPr>
            <w:tcW w:w="840" w:type="dxa"/>
            <w:vAlign w:val="bottom"/>
            <w:shd w:val="clear" w:color="auto" w:fill="CFF0FC"/>
          </w:tcPr>
          <w:p>
            <w:pPr>
              <w:jc w:val="right"/>
              <w:ind w:right="688"/>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3,537</w:t>
            </w:r>
          </w:p>
        </w:tc>
        <w:tc>
          <w:tcPr>
            <w:tcW w:w="120" w:type="dxa"/>
            <w:vAlign w:val="bottom"/>
            <w:shd w:val="clear" w:color="auto" w:fill="CFF0FC"/>
          </w:tcPr>
          <w:p>
            <w:pPr>
              <w:spacing w:after="0"/>
              <w:rPr>
                <w:sz w:val="14"/>
                <w:szCs w:val="14"/>
                <w:color w:val="auto"/>
              </w:rPr>
            </w:pPr>
          </w:p>
        </w:tc>
      </w:tr>
      <w:tr>
        <w:trPr>
          <w:trHeight w:val="162"/>
        </w:trPr>
        <w:tc>
          <w:tcPr>
            <w:tcW w:w="9140" w:type="dxa"/>
            <w:vAlign w:val="bottom"/>
          </w:tcPr>
          <w:p>
            <w:pPr>
              <w:spacing w:after="0"/>
              <w:rPr>
                <w:sz w:val="20"/>
                <w:szCs w:val="20"/>
                <w:color w:val="auto"/>
              </w:rPr>
            </w:pPr>
            <w:r>
              <w:rPr>
                <w:rFonts w:ascii="Arial" w:cs="Arial" w:eastAsia="Arial" w:hAnsi="Arial"/>
                <w:sz w:val="14"/>
                <w:szCs w:val="14"/>
                <w:color w:val="auto"/>
              </w:rPr>
              <w:t>Change in underlying unit margins and sales mix</w:t>
            </w:r>
          </w:p>
        </w:tc>
        <w:tc>
          <w:tcPr>
            <w:tcW w:w="840" w:type="dxa"/>
            <w:vAlign w:val="bottom"/>
          </w:tcPr>
          <w:p>
            <w:pPr>
              <w:spacing w:after="0"/>
              <w:rPr>
                <w:sz w:val="14"/>
                <w:szCs w:val="14"/>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4"/>
                <w:szCs w:val="14"/>
                <w:color w:val="auto"/>
              </w:rPr>
              <w:t>(818)</w:t>
            </w:r>
          </w:p>
        </w:tc>
      </w:tr>
      <w:tr>
        <w:trPr>
          <w:trHeight w:val="162"/>
        </w:trPr>
        <w:tc>
          <w:tcPr>
            <w:tcW w:w="9140" w:type="dxa"/>
            <w:vAlign w:val="bottom"/>
            <w:shd w:val="clear" w:color="auto" w:fill="CFF0FC"/>
          </w:tcPr>
          <w:p>
            <w:pPr>
              <w:spacing w:after="0"/>
              <w:rPr>
                <w:sz w:val="20"/>
                <w:szCs w:val="20"/>
                <w:color w:val="auto"/>
              </w:rPr>
            </w:pPr>
            <w:r>
              <w:rPr>
                <w:rFonts w:ascii="Arial" w:cs="Arial" w:eastAsia="Arial" w:hAnsi="Arial"/>
                <w:sz w:val="14"/>
                <w:szCs w:val="14"/>
                <w:color w:val="auto"/>
              </w:rPr>
              <w:t>Decrease in sales volumes</w:t>
            </w:r>
          </w:p>
        </w:tc>
        <w:tc>
          <w:tcPr>
            <w:tcW w:w="84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(143)</w:t>
            </w:r>
          </w:p>
        </w:tc>
      </w:tr>
      <w:tr>
        <w:trPr>
          <w:trHeight w:val="162"/>
        </w:trPr>
        <w:tc>
          <w:tcPr>
            <w:tcW w:w="9140" w:type="dxa"/>
            <w:vAlign w:val="bottom"/>
          </w:tcPr>
          <w:p>
            <w:pPr>
              <w:spacing w:after="0"/>
              <w:rPr>
                <w:sz w:val="20"/>
                <w:szCs w:val="20"/>
                <w:color w:val="auto"/>
              </w:rPr>
            </w:pPr>
            <w:r>
              <w:rPr>
                <w:rFonts w:ascii="Arial" w:cs="Arial" w:eastAsia="Arial" w:hAnsi="Arial"/>
                <w:sz w:val="14"/>
                <w:szCs w:val="14"/>
                <w:color w:val="auto"/>
              </w:rPr>
              <w:t>Favorable foreign currency translation effects</w:t>
            </w:r>
          </w:p>
        </w:tc>
        <w:tc>
          <w:tcPr>
            <w:tcW w:w="8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w:t>
            </w:r>
          </w:p>
        </w:tc>
        <w:tc>
          <w:tcPr>
            <w:tcW w:w="120" w:type="dxa"/>
            <w:vAlign w:val="bottom"/>
          </w:tcPr>
          <w:p>
            <w:pPr>
              <w:spacing w:after="0"/>
              <w:rPr>
                <w:sz w:val="14"/>
                <w:szCs w:val="14"/>
                <w:color w:val="auto"/>
              </w:rPr>
            </w:pPr>
          </w:p>
        </w:tc>
      </w:tr>
      <w:tr>
        <w:trPr>
          <w:trHeight w:val="195"/>
        </w:trPr>
        <w:tc>
          <w:tcPr>
            <w:tcW w:w="914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Segment Profit for the current period</w:t>
            </w:r>
          </w:p>
        </w:tc>
        <w:tc>
          <w:tcPr>
            <w:tcW w:w="840" w:type="dxa"/>
            <w:vAlign w:val="bottom"/>
            <w:tcBorders>
              <w:bottom w:val="single" w:sz="8" w:color="auto"/>
            </w:tcBorders>
            <w:shd w:val="clear" w:color="auto" w:fill="CFF0FC"/>
          </w:tcPr>
          <w:p>
            <w:pPr>
              <w:jc w:val="right"/>
              <w:ind w:right="68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2,758</w:t>
            </w:r>
          </w:p>
        </w:tc>
        <w:tc>
          <w:tcPr>
            <w:tcW w:w="12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color w:val="auto"/>
        </w:rPr>
        <w:t>The decrease in Segment Profit for the Asia Segment from the prior period to the current period was primarily attributable to (i) a change in sales mix of REPREVE products and</w:t>
      </w:r>
    </w:p>
    <w:p>
      <w:pPr>
        <w:spacing w:after="0" w:line="15" w:lineRule="exact"/>
        <w:rPr>
          <w:sz w:val="20"/>
          <w:szCs w:val="20"/>
          <w:color w:val="auto"/>
        </w:rPr>
      </w:pPr>
    </w:p>
    <w:p>
      <w:pPr>
        <w:ind w:left="5540" w:right="1260" w:hanging="5532"/>
        <w:spacing w:after="0" w:line="574" w:lineRule="auto"/>
        <w:tabs>
          <w:tab w:leader="none" w:pos="204" w:val="left"/>
        </w:tabs>
        <w:numPr>
          <w:ilvl w:val="0"/>
          <w:numId w:val="12"/>
        </w:numPr>
        <w:rPr>
          <w:rFonts w:ascii="Arial" w:cs="Arial" w:eastAsia="Arial" w:hAnsi="Arial"/>
          <w:sz w:val="14"/>
          <w:szCs w:val="14"/>
          <w:color w:val="auto"/>
        </w:rPr>
      </w:pPr>
      <w:r>
        <w:rPr>
          <w:rFonts w:ascii="Arial" w:cs="Arial" w:eastAsia="Arial" w:hAnsi="Arial"/>
          <w:sz w:val="14"/>
          <w:szCs w:val="14"/>
          <w:color w:val="auto"/>
        </w:rPr>
        <w:t>lower sales volumes discussed above, partially offset by favorable foreign currency translation effects from the strengthening of the RMB versus the USD.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699770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0"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4"/>
          <w:szCs w:val="14"/>
          <w:b w:val="1"/>
          <w:bCs w:val="1"/>
          <w:color w:val="auto"/>
        </w:rPr>
        <w:t>Nine Months Ended March 29, 2026 Compared to Nine Months Ended March 30, 2025</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Consolidated Overview</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The below tables provide:</w:t>
      </w:r>
    </w:p>
    <w:p>
      <w:pPr>
        <w:spacing w:after="0" w:line="109"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4"/>
          <w:szCs w:val="14"/>
          <w:color w:val="auto"/>
        </w:rPr>
      </w:pPr>
      <w:r>
        <w:rPr>
          <w:rFonts w:ascii="Arial" w:cs="Arial" w:eastAsia="Arial" w:hAnsi="Arial"/>
          <w:sz w:val="14"/>
          <w:szCs w:val="14"/>
          <w:color w:val="auto"/>
        </w:rPr>
        <w:t>the components of net loss and the percentage increase or decrease over the prior nine-month period amounts, and</w:t>
      </w:r>
    </w:p>
    <w:p>
      <w:pPr>
        <w:spacing w:after="0" w:line="108"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13"/>
        </w:numPr>
        <w:rPr>
          <w:rFonts w:ascii="Times New Roman" w:cs="Times New Roman" w:eastAsia="Times New Roman" w:hAnsi="Times New Roman"/>
          <w:sz w:val="14"/>
          <w:szCs w:val="14"/>
          <w:color w:val="auto"/>
        </w:rPr>
      </w:pPr>
      <w:r>
        <w:rPr>
          <w:rFonts w:ascii="Arial" w:cs="Arial" w:eastAsia="Arial" w:hAnsi="Arial"/>
          <w:sz w:val="14"/>
          <w:szCs w:val="14"/>
          <w:color w:val="auto"/>
        </w:rPr>
        <w:t>a reconciliation from net loss to EBITDA and Adjusted EBITDA.</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Following the tables is a discussion and analysis of the significant components of net loss.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gridSpan w:val="2"/>
          </w:tcPr>
          <w:p>
            <w:pPr>
              <w:spacing w:after="0"/>
              <w:rPr>
                <w:sz w:val="20"/>
                <w:szCs w:val="20"/>
                <w:color w:val="auto"/>
              </w:rPr>
            </w:pPr>
            <w:r>
              <w:rPr>
                <w:rFonts w:ascii="Arial" w:cs="Arial" w:eastAsia="Arial" w:hAnsi="Arial"/>
                <w:sz w:val="14"/>
                <w:szCs w:val="14"/>
                <w:i w:val="1"/>
                <w:iCs w:val="1"/>
                <w:color w:val="auto"/>
              </w:rPr>
              <w:t>Net Loss</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580" w:type="dxa"/>
            <w:vAlign w:val="bottom"/>
            <w:tcBorders>
              <w:top w:val="single" w:sz="8" w:color="auto"/>
            </w:tcBorders>
          </w:tcPr>
          <w:p>
            <w:pPr>
              <w:spacing w:after="0"/>
              <w:rPr>
                <w:sz w:val="22"/>
                <w:szCs w:val="22"/>
                <w:color w:val="auto"/>
              </w:rPr>
            </w:pPr>
          </w:p>
        </w:tc>
        <w:tc>
          <w:tcPr>
            <w:tcW w:w="35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880" w:type="dxa"/>
            <w:vAlign w:val="bottom"/>
            <w:tcBorders>
              <w:bottom w:val="single" w:sz="8" w:color="auto"/>
            </w:tcBorders>
            <w:gridSpan w:val="6"/>
          </w:tcPr>
          <w:p>
            <w:pPr>
              <w:jc w:val="right"/>
              <w:ind w:right="580"/>
              <w:spacing w:after="0"/>
              <w:rPr>
                <w:sz w:val="20"/>
                <w:szCs w:val="20"/>
                <w:color w:val="auto"/>
              </w:rPr>
            </w:pPr>
            <w:r>
              <w:rPr>
                <w:rFonts w:ascii="Arial" w:cs="Arial" w:eastAsia="Arial" w:hAnsi="Arial"/>
                <w:sz w:val="14"/>
                <w:szCs w:val="14"/>
                <w:b w:val="1"/>
                <w:bCs w:val="1"/>
                <w:color w:val="auto"/>
              </w:rPr>
              <w:t>For the Nine Months Ended</w:t>
            </w:r>
          </w:p>
        </w:tc>
        <w:tc>
          <w:tcPr>
            <w:tcW w:w="124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20" w:type="dxa"/>
            <w:vAlign w:val="bottom"/>
            <w:gridSpan w:val="4"/>
          </w:tcPr>
          <w:p>
            <w:pPr>
              <w:jc w:val="right"/>
              <w:ind w:right="960"/>
              <w:spacing w:after="0" w:line="155" w:lineRule="exact"/>
              <w:rPr>
                <w:sz w:val="20"/>
                <w:szCs w:val="20"/>
                <w:color w:val="auto"/>
              </w:rPr>
            </w:pPr>
            <w:r>
              <w:rPr>
                <w:rFonts w:ascii="Arial" w:cs="Arial" w:eastAsia="Arial" w:hAnsi="Arial"/>
                <w:sz w:val="14"/>
                <w:szCs w:val="14"/>
                <w:b w:val="1"/>
                <w:bCs w:val="1"/>
                <w:color w:val="auto"/>
              </w:rPr>
              <w:t>March 29, 2026</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60" w:type="dxa"/>
            <w:vAlign w:val="bottom"/>
            <w:gridSpan w:val="3"/>
          </w:tcPr>
          <w:p>
            <w:pPr>
              <w:jc w:val="right"/>
              <w:ind w:right="748"/>
              <w:spacing w:after="0" w:line="155" w:lineRule="exact"/>
              <w:rPr>
                <w:sz w:val="20"/>
                <w:szCs w:val="20"/>
                <w:color w:val="auto"/>
              </w:rPr>
            </w:pPr>
            <w:r>
              <w:rPr>
                <w:rFonts w:ascii="Arial" w:cs="Arial" w:eastAsia="Arial" w:hAnsi="Arial"/>
                <w:sz w:val="14"/>
                <w:szCs w:val="14"/>
                <w:b w:val="1"/>
                <w:bCs w:val="1"/>
                <w:color w:val="auto"/>
              </w:rPr>
              <w:t>March 30, 2025</w:t>
            </w:r>
          </w:p>
        </w:tc>
        <w:tc>
          <w:tcPr>
            <w:tcW w:w="200" w:type="dxa"/>
            <w:vAlign w:val="bottom"/>
          </w:tcPr>
          <w:p>
            <w:pPr>
              <w:spacing w:after="0"/>
              <w:rPr>
                <w:sz w:val="13"/>
                <w:szCs w:val="13"/>
                <w:color w:val="auto"/>
              </w:rPr>
            </w:pPr>
          </w:p>
        </w:tc>
        <w:tc>
          <w:tcPr>
            <w:tcW w:w="1280" w:type="dxa"/>
            <w:vAlign w:val="bottom"/>
            <w:vMerge w:val="restart"/>
          </w:tcPr>
          <w:p>
            <w:pPr>
              <w:jc w:val="right"/>
              <w:ind w:right="50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right"/>
              <w:ind w:right="428"/>
              <w:spacing w:after="0" w:line="147" w:lineRule="exact"/>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ind w:right="408"/>
              <w:spacing w:after="0" w:line="147"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Net Sales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Net Sales</w:t>
            </w:r>
          </w:p>
        </w:tc>
        <w:tc>
          <w:tcPr>
            <w:tcW w:w="200" w:type="dxa"/>
            <w:vAlign w:val="bottom"/>
          </w:tcPr>
          <w:p>
            <w:pPr>
              <w:spacing w:after="0"/>
              <w:rPr>
                <w:sz w:val="14"/>
                <w:szCs w:val="14"/>
                <w:color w:val="auto"/>
              </w:rPr>
            </w:pPr>
          </w:p>
        </w:tc>
        <w:tc>
          <w:tcPr>
            <w:tcW w:w="12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40" w:type="dxa"/>
            <w:vAlign w:val="bottom"/>
            <w:gridSpan w:val="2"/>
            <w:shd w:val="clear" w:color="auto" w:fill="CFF0FC"/>
          </w:tcPr>
          <w:p>
            <w:pPr>
              <w:spacing w:after="0" w:line="155" w:lineRule="exact"/>
              <w:rPr>
                <w:sz w:val="20"/>
                <w:szCs w:val="20"/>
                <w:color w:val="auto"/>
              </w:rPr>
            </w:pPr>
            <w:r>
              <w:rPr>
                <w:rFonts w:ascii="Arial" w:cs="Arial" w:eastAsia="Arial" w:hAnsi="Arial"/>
                <w:sz w:val="14"/>
                <w:szCs w:val="14"/>
                <w:color w:val="auto"/>
              </w:rPr>
              <w:t>Net sales</w:t>
            </w:r>
          </w:p>
        </w:tc>
        <w:tc>
          <w:tcPr>
            <w:tcW w:w="360" w:type="dxa"/>
            <w:vAlign w:val="bottom"/>
            <w:shd w:val="clear" w:color="auto" w:fill="CFF0FC"/>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387,079</w:t>
            </w:r>
          </w:p>
        </w:tc>
        <w:tc>
          <w:tcPr>
            <w:tcW w:w="22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100.0</w:t>
            </w:r>
          </w:p>
        </w:tc>
        <w:tc>
          <w:tcPr>
            <w:tcW w:w="140" w:type="dxa"/>
            <w:vAlign w:val="bottom"/>
            <w:shd w:val="clear" w:color="auto" w:fill="CFF0FC"/>
          </w:tcPr>
          <w:p>
            <w:pPr>
              <w:spacing w:after="0"/>
              <w:rPr>
                <w:sz w:val="13"/>
                <w:szCs w:val="13"/>
                <w:color w:val="auto"/>
              </w:rPr>
            </w:pPr>
          </w:p>
        </w:tc>
        <w:tc>
          <w:tcPr>
            <w:tcW w:w="460" w:type="dxa"/>
            <w:vAlign w:val="bottom"/>
            <w:gridSpan w:val="2"/>
            <w:shd w:val="clear" w:color="auto" w:fill="CFF0FC"/>
          </w:tcPr>
          <w:p>
            <w:pPr>
              <w:jc w:val="right"/>
              <w:ind w:right="208"/>
              <w:spacing w:after="0" w:line="155" w:lineRule="exact"/>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432,809</w:t>
            </w:r>
          </w:p>
        </w:tc>
        <w:tc>
          <w:tcPr>
            <w:tcW w:w="22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100.0</w:t>
            </w:r>
          </w:p>
        </w:tc>
        <w:tc>
          <w:tcPr>
            <w:tcW w:w="20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62"/>
        </w:trPr>
        <w:tc>
          <w:tcPr>
            <w:tcW w:w="4140" w:type="dxa"/>
            <w:vAlign w:val="bottom"/>
            <w:gridSpan w:val="2"/>
          </w:tcPr>
          <w:p>
            <w:pPr>
              <w:spacing w:after="0"/>
              <w:rPr>
                <w:sz w:val="20"/>
                <w:szCs w:val="20"/>
                <w:color w:val="auto"/>
              </w:rPr>
            </w:pPr>
            <w:r>
              <w:rPr>
                <w:rFonts w:ascii="Arial" w:cs="Arial" w:eastAsia="Arial" w:hAnsi="Arial"/>
                <w:sz w:val="14"/>
                <w:szCs w:val="14"/>
                <w:color w:val="auto"/>
              </w:rPr>
              <w:t>Cost of sales</w:t>
            </w: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370,964</w:t>
            </w:r>
          </w:p>
        </w:tc>
        <w:tc>
          <w:tcPr>
            <w:tcW w:w="220" w:type="dxa"/>
            <w:vAlign w:val="bottom"/>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423,262</w:t>
            </w:r>
          </w:p>
        </w:tc>
        <w:tc>
          <w:tcPr>
            <w:tcW w:w="220" w:type="dxa"/>
            <w:vAlign w:val="bottom"/>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97.8</w:t>
            </w:r>
          </w:p>
        </w:tc>
        <w:tc>
          <w:tcPr>
            <w:tcW w:w="200" w:type="dxa"/>
            <w:vAlign w:val="bottom"/>
          </w:tcPr>
          <w:p>
            <w:pPr>
              <w:spacing w:after="0"/>
              <w:rPr>
                <w:sz w:val="14"/>
                <w:szCs w:val="14"/>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155"/>
        </w:trPr>
        <w:tc>
          <w:tcPr>
            <w:tcW w:w="4140" w:type="dxa"/>
            <w:vAlign w:val="bottom"/>
            <w:gridSpan w:val="2"/>
            <w:shd w:val="clear" w:color="auto" w:fill="CFF0FC"/>
          </w:tcPr>
          <w:p>
            <w:pPr>
              <w:spacing w:after="0" w:line="155" w:lineRule="exact"/>
              <w:rPr>
                <w:sz w:val="20"/>
                <w:szCs w:val="20"/>
                <w:color w:val="auto"/>
              </w:rPr>
            </w:pPr>
            <w:r>
              <w:rPr>
                <w:rFonts w:ascii="Arial" w:cs="Arial" w:eastAsia="Arial" w:hAnsi="Arial"/>
                <w:sz w:val="14"/>
                <w:szCs w:val="14"/>
                <w:color w:val="auto"/>
              </w:rPr>
              <w:t>Gross profit</w:t>
            </w:r>
          </w:p>
        </w:tc>
        <w:tc>
          <w:tcPr>
            <w:tcW w:w="36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16,115</w:t>
            </w:r>
          </w:p>
        </w:tc>
        <w:tc>
          <w:tcPr>
            <w:tcW w:w="22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4.2</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9,547</w:t>
            </w:r>
          </w:p>
        </w:tc>
        <w:tc>
          <w:tcPr>
            <w:tcW w:w="22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2.2</w:t>
            </w:r>
          </w:p>
        </w:tc>
        <w:tc>
          <w:tcPr>
            <w:tcW w:w="20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68.8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40" w:type="dxa"/>
            <w:vAlign w:val="bottom"/>
            <w:gridSpan w:val="2"/>
          </w:tcPr>
          <w:p>
            <w:pPr>
              <w:spacing w:after="0"/>
              <w:rPr>
                <w:sz w:val="20"/>
                <w:szCs w:val="20"/>
                <w:color w:val="auto"/>
              </w:rPr>
            </w:pPr>
            <w:r>
              <w:rPr>
                <w:rFonts w:ascii="Arial" w:cs="Arial" w:eastAsia="Arial" w:hAnsi="Arial"/>
                <w:sz w:val="14"/>
                <w:szCs w:val="14"/>
                <w:color w:val="auto"/>
              </w:rPr>
              <w:t>SG&amp;A</w:t>
            </w: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32,849</w:t>
            </w: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37,058</w:t>
            </w:r>
          </w:p>
        </w:tc>
        <w:tc>
          <w:tcPr>
            <w:tcW w:w="2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8.6</w:t>
            </w:r>
          </w:p>
        </w:tc>
        <w:tc>
          <w:tcPr>
            <w:tcW w:w="200" w:type="dxa"/>
            <w:vAlign w:val="bottom"/>
          </w:tcPr>
          <w:p>
            <w:pPr>
              <w:spacing w:after="0"/>
              <w:rPr>
                <w:sz w:val="14"/>
                <w:szCs w:val="14"/>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62"/>
        </w:trPr>
        <w:tc>
          <w:tcPr>
            <w:tcW w:w="41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Benefit for bad debts</w:t>
            </w:r>
          </w:p>
        </w:tc>
        <w:tc>
          <w:tcPr>
            <w:tcW w:w="36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(244)</w:t>
            </w: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(39)</w:t>
            </w: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62"/>
        </w:trPr>
        <w:tc>
          <w:tcPr>
            <w:tcW w:w="4140" w:type="dxa"/>
            <w:vAlign w:val="bottom"/>
            <w:gridSpan w:val="2"/>
          </w:tcPr>
          <w:p>
            <w:pPr>
              <w:spacing w:after="0"/>
              <w:rPr>
                <w:sz w:val="20"/>
                <w:szCs w:val="20"/>
                <w:color w:val="auto"/>
              </w:rPr>
            </w:pPr>
            <w:r>
              <w:rPr>
                <w:rFonts w:ascii="Arial" w:cs="Arial" w:eastAsia="Arial" w:hAnsi="Arial"/>
                <w:sz w:val="14"/>
                <w:szCs w:val="14"/>
                <w:color w:val="auto"/>
              </w:rPr>
              <w:t>Restructuring costs, net</w:t>
            </w: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1,853</w:t>
            </w: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0.5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1,320</w:t>
            </w:r>
          </w:p>
        </w:tc>
        <w:tc>
          <w:tcPr>
            <w:tcW w:w="2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0.3</w:t>
            </w: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40.4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Gain on sale of assets</w:t>
            </w:r>
          </w:p>
        </w:tc>
        <w:tc>
          <w:tcPr>
            <w:tcW w:w="36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(4,296)</w:t>
            </w: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(1.0)</w:t>
            </w: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62"/>
        </w:trPr>
        <w:tc>
          <w:tcPr>
            <w:tcW w:w="4140" w:type="dxa"/>
            <w:vAlign w:val="bottom"/>
            <w:gridSpan w:val="2"/>
          </w:tcPr>
          <w:p>
            <w:pPr>
              <w:spacing w:after="0"/>
              <w:rPr>
                <w:sz w:val="20"/>
                <w:szCs w:val="20"/>
                <w:color w:val="auto"/>
              </w:rPr>
            </w:pPr>
            <w:r>
              <w:rPr>
                <w:rFonts w:ascii="Arial" w:cs="Arial" w:eastAsia="Arial" w:hAnsi="Arial"/>
                <w:sz w:val="14"/>
                <w:szCs w:val="14"/>
                <w:color w:val="auto"/>
              </w:rPr>
              <w:t>Other operating (income) expense, net</w:t>
            </w:r>
          </w:p>
        </w:tc>
        <w:tc>
          <w:tcPr>
            <w:tcW w:w="36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(1,317)</w:t>
            </w:r>
          </w:p>
        </w:tc>
        <w:tc>
          <w:tcPr>
            <w:tcW w:w="1400" w:type="dxa"/>
            <w:vAlign w:val="bottom"/>
            <w:gridSpan w:val="2"/>
          </w:tcPr>
          <w:p>
            <w:pPr>
              <w:jc w:val="right"/>
              <w:ind w:right="100"/>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144</w:t>
            </w:r>
          </w:p>
        </w:tc>
        <w:tc>
          <w:tcPr>
            <w:tcW w:w="220" w:type="dxa"/>
            <w:vAlign w:val="bottom"/>
          </w:tcPr>
          <w:p>
            <w:pPr>
              <w:spacing w:after="0"/>
              <w:rPr>
                <w:sz w:val="14"/>
                <w:szCs w:val="14"/>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140"/>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140" w:type="dxa"/>
            <w:vAlign w:val="bottom"/>
            <w:gridSpan w:val="2"/>
            <w:shd w:val="clear" w:color="auto" w:fill="CFF0FC"/>
          </w:tcPr>
          <w:p>
            <w:pPr>
              <w:spacing w:after="0" w:line="155" w:lineRule="exact"/>
              <w:rPr>
                <w:sz w:val="20"/>
                <w:szCs w:val="20"/>
                <w:color w:val="auto"/>
              </w:rPr>
            </w:pPr>
            <w:r>
              <w:rPr>
                <w:rFonts w:ascii="Arial" w:cs="Arial" w:eastAsia="Arial" w:hAnsi="Arial"/>
                <w:sz w:val="14"/>
                <w:szCs w:val="14"/>
                <w:color w:val="auto"/>
              </w:rPr>
              <w:t>Operating loss</w:t>
            </w:r>
          </w:p>
        </w:tc>
        <w:tc>
          <w:tcPr>
            <w:tcW w:w="3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color w:val="auto"/>
              </w:rPr>
              <w:t>(17,026)</w:t>
            </w:r>
          </w:p>
        </w:tc>
        <w:tc>
          <w:tcPr>
            <w:tcW w:w="1400" w:type="dxa"/>
            <w:vAlign w:val="bottom"/>
            <w:gridSpan w:val="2"/>
            <w:shd w:val="clear" w:color="auto" w:fill="CFF0FC"/>
          </w:tcPr>
          <w:p>
            <w:pPr>
              <w:jc w:val="right"/>
              <w:ind w:right="100"/>
              <w:spacing w:after="0" w:line="155" w:lineRule="exact"/>
              <w:rPr>
                <w:sz w:val="20"/>
                <w:szCs w:val="20"/>
                <w:color w:val="auto"/>
              </w:rPr>
            </w:pPr>
            <w:r>
              <w:rPr>
                <w:rFonts w:ascii="Arial" w:cs="Arial" w:eastAsia="Arial" w:hAnsi="Arial"/>
                <w:sz w:val="14"/>
                <w:szCs w:val="14"/>
                <w:color w:val="auto"/>
              </w:rPr>
              <w:t>(4.4)</w:t>
            </w: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160"/>
              <w:spacing w:after="0" w:line="155" w:lineRule="exact"/>
              <w:rPr>
                <w:sz w:val="20"/>
                <w:szCs w:val="20"/>
                <w:color w:val="auto"/>
              </w:rPr>
            </w:pPr>
            <w:r>
              <w:rPr>
                <w:rFonts w:ascii="Arial" w:cs="Arial" w:eastAsia="Arial" w:hAnsi="Arial"/>
                <w:sz w:val="14"/>
                <w:szCs w:val="14"/>
                <w:color w:val="auto"/>
              </w:rPr>
              <w:t>(24,640)</w:t>
            </w:r>
          </w:p>
        </w:tc>
        <w:tc>
          <w:tcPr>
            <w:tcW w:w="1440" w:type="dxa"/>
            <w:vAlign w:val="bottom"/>
            <w:gridSpan w:val="2"/>
            <w:shd w:val="clear" w:color="auto" w:fill="CFF0FC"/>
          </w:tcPr>
          <w:p>
            <w:pPr>
              <w:jc w:val="right"/>
              <w:ind w:right="160"/>
              <w:spacing w:after="0" w:line="155" w:lineRule="exact"/>
              <w:rPr>
                <w:sz w:val="20"/>
                <w:szCs w:val="20"/>
                <w:color w:val="auto"/>
              </w:rPr>
            </w:pPr>
            <w:r>
              <w:rPr>
                <w:rFonts w:ascii="Arial" w:cs="Arial" w:eastAsia="Arial" w:hAnsi="Arial"/>
                <w:sz w:val="14"/>
                <w:szCs w:val="14"/>
                <w:color w:val="auto"/>
              </w:rPr>
              <w:t>(5.7)</w:t>
            </w:r>
          </w:p>
        </w:tc>
        <w:tc>
          <w:tcPr>
            <w:tcW w:w="140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(30.9)</w:t>
            </w:r>
          </w:p>
        </w:tc>
        <w:tc>
          <w:tcPr>
            <w:tcW w:w="0" w:type="dxa"/>
            <w:vAlign w:val="bottom"/>
          </w:tcPr>
          <w:p>
            <w:pPr>
              <w:spacing w:after="0"/>
              <w:rPr>
                <w:sz w:val="1"/>
                <w:szCs w:val="1"/>
                <w:color w:val="auto"/>
              </w:rPr>
            </w:pPr>
          </w:p>
        </w:tc>
      </w:tr>
      <w:tr>
        <w:trPr>
          <w:trHeight w:val="162"/>
        </w:trPr>
        <w:tc>
          <w:tcPr>
            <w:tcW w:w="4140" w:type="dxa"/>
            <w:vAlign w:val="bottom"/>
            <w:gridSpan w:val="2"/>
          </w:tcPr>
          <w:p>
            <w:pPr>
              <w:spacing w:after="0"/>
              <w:rPr>
                <w:sz w:val="20"/>
                <w:szCs w:val="20"/>
                <w:color w:val="auto"/>
              </w:rPr>
            </w:pPr>
            <w:r>
              <w:rPr>
                <w:rFonts w:ascii="Arial" w:cs="Arial" w:eastAsia="Arial" w:hAnsi="Arial"/>
                <w:sz w:val="14"/>
                <w:szCs w:val="14"/>
                <w:color w:val="auto"/>
              </w:rPr>
              <w:t>Interest expense, net</w:t>
            </w: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4,070</w:t>
            </w: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6,690</w:t>
            </w:r>
          </w:p>
        </w:tc>
        <w:tc>
          <w:tcPr>
            <w:tcW w:w="2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1.6</w:t>
            </w:r>
          </w:p>
        </w:tc>
        <w:tc>
          <w:tcPr>
            <w:tcW w:w="200" w:type="dxa"/>
            <w:vAlign w:val="bottom"/>
          </w:tcPr>
          <w:p>
            <w:pPr>
              <w:spacing w:after="0"/>
              <w:rPr>
                <w:sz w:val="14"/>
                <w:szCs w:val="14"/>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(39.2)</w:t>
            </w:r>
          </w:p>
        </w:tc>
        <w:tc>
          <w:tcPr>
            <w:tcW w:w="0" w:type="dxa"/>
            <w:vAlign w:val="bottom"/>
          </w:tcPr>
          <w:p>
            <w:pPr>
              <w:spacing w:after="0"/>
              <w:rPr>
                <w:sz w:val="1"/>
                <w:szCs w:val="1"/>
                <w:color w:val="auto"/>
              </w:rPr>
            </w:pPr>
          </w:p>
        </w:tc>
      </w:tr>
      <w:tr>
        <w:trPr>
          <w:trHeight w:val="162"/>
        </w:trPr>
        <w:tc>
          <w:tcPr>
            <w:tcW w:w="41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4"/>
                <w:szCs w:val="14"/>
                <w:color w:val="auto"/>
              </w:rPr>
              <w:t>Equity in loss of unconsolidated affiliate</w:t>
            </w:r>
          </w:p>
        </w:tc>
        <w:tc>
          <w:tcPr>
            <w:tcW w:w="36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289</w:t>
            </w:r>
          </w:p>
        </w:tc>
        <w:tc>
          <w:tcPr>
            <w:tcW w:w="220" w:type="dxa"/>
            <w:vAlign w:val="bottom"/>
            <w:tcBorders>
              <w:bottom w:val="single" w:sz="8" w:color="CFF0FC"/>
            </w:tcBorders>
            <w:shd w:val="clear" w:color="auto" w:fill="CFF0FC"/>
          </w:tcPr>
          <w:p>
            <w:pPr>
              <w:spacing w:after="0"/>
              <w:rPr>
                <w:sz w:val="14"/>
                <w:szCs w:val="14"/>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0.1</w:t>
            </w:r>
          </w:p>
        </w:tc>
        <w:tc>
          <w:tcPr>
            <w:tcW w:w="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467</w:t>
            </w:r>
          </w:p>
        </w:tc>
        <w:tc>
          <w:tcPr>
            <w:tcW w:w="220" w:type="dxa"/>
            <w:vAlign w:val="bottom"/>
            <w:tcBorders>
              <w:bottom w:val="single" w:sz="8" w:color="CFF0FC"/>
            </w:tcBorders>
            <w:shd w:val="clear" w:color="auto" w:fill="CFF0FC"/>
          </w:tcPr>
          <w:p>
            <w:pPr>
              <w:spacing w:after="0"/>
              <w:rPr>
                <w:sz w:val="14"/>
                <w:szCs w:val="14"/>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0.1</w:t>
            </w:r>
          </w:p>
        </w:tc>
        <w:tc>
          <w:tcPr>
            <w:tcW w:w="200" w:type="dxa"/>
            <w:vAlign w:val="bottom"/>
            <w:tcBorders>
              <w:bottom w:val="single" w:sz="8" w:color="CFF0FC"/>
            </w:tcBorders>
            <w:shd w:val="clear" w:color="auto" w:fill="CFF0FC"/>
          </w:tcPr>
          <w:p>
            <w:pPr>
              <w:spacing w:after="0"/>
              <w:rPr>
                <w:sz w:val="14"/>
                <w:szCs w:val="14"/>
                <w:color w:val="auto"/>
              </w:rPr>
            </w:pPr>
          </w:p>
        </w:tc>
        <w:tc>
          <w:tcPr>
            <w:tcW w:w="140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(38.1)</w:t>
            </w:r>
          </w:p>
        </w:tc>
        <w:tc>
          <w:tcPr>
            <w:tcW w:w="0" w:type="dxa"/>
            <w:vAlign w:val="bottom"/>
          </w:tcPr>
          <w:p>
            <w:pPr>
              <w:spacing w:after="0"/>
              <w:rPr>
                <w:sz w:val="1"/>
                <w:szCs w:val="1"/>
                <w:color w:val="auto"/>
              </w:rPr>
            </w:pPr>
          </w:p>
        </w:tc>
      </w:tr>
      <w:tr>
        <w:trPr>
          <w:trHeight w:val="156"/>
        </w:trPr>
        <w:tc>
          <w:tcPr>
            <w:tcW w:w="4140" w:type="dxa"/>
            <w:vAlign w:val="bottom"/>
            <w:gridSpan w:val="2"/>
          </w:tcPr>
          <w:p>
            <w:pPr>
              <w:spacing w:after="0" w:line="155" w:lineRule="exact"/>
              <w:rPr>
                <w:sz w:val="20"/>
                <w:szCs w:val="20"/>
                <w:color w:val="auto"/>
              </w:rPr>
            </w:pPr>
            <w:r>
              <w:rPr>
                <w:rFonts w:ascii="Arial" w:cs="Arial" w:eastAsia="Arial" w:hAnsi="Arial"/>
                <w:sz w:val="14"/>
                <w:szCs w:val="14"/>
                <w:color w:val="auto"/>
              </w:rPr>
              <w:t>Loss before income taxes</w:t>
            </w:r>
          </w:p>
        </w:tc>
        <w:tc>
          <w:tcPr>
            <w:tcW w:w="360" w:type="dxa"/>
            <w:vAlign w:val="bottom"/>
          </w:tcPr>
          <w:p>
            <w:pPr>
              <w:spacing w:after="0"/>
              <w:rPr>
                <w:sz w:val="13"/>
                <w:szCs w:val="13"/>
                <w:color w:val="auto"/>
              </w:rPr>
            </w:pPr>
          </w:p>
        </w:tc>
        <w:tc>
          <w:tcPr>
            <w:tcW w:w="10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(21,385)</w:t>
            </w:r>
          </w:p>
        </w:tc>
        <w:tc>
          <w:tcPr>
            <w:tcW w:w="140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(5.5)</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(31,797)</w:t>
            </w:r>
          </w:p>
        </w:tc>
        <w:tc>
          <w:tcPr>
            <w:tcW w:w="144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(7.4)</w:t>
            </w:r>
          </w:p>
        </w:tc>
        <w:tc>
          <w:tcPr>
            <w:tcW w:w="14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(32.7)</w:t>
            </w:r>
          </w:p>
        </w:tc>
        <w:tc>
          <w:tcPr>
            <w:tcW w:w="0" w:type="dxa"/>
            <w:vAlign w:val="bottom"/>
          </w:tcPr>
          <w:p>
            <w:pPr>
              <w:spacing w:after="0"/>
              <w:rPr>
                <w:sz w:val="1"/>
                <w:szCs w:val="1"/>
                <w:color w:val="auto"/>
              </w:rPr>
            </w:pPr>
          </w:p>
        </w:tc>
      </w:tr>
      <w:tr>
        <w:trPr>
          <w:trHeight w:val="162"/>
        </w:trPr>
        <w:tc>
          <w:tcPr>
            <w:tcW w:w="41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4"/>
                <w:szCs w:val="14"/>
                <w:color w:val="auto"/>
              </w:rPr>
              <w:t>Provision for income taxes</w:t>
            </w:r>
          </w:p>
        </w:tc>
        <w:tc>
          <w:tcPr>
            <w:tcW w:w="36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1,984</w:t>
            </w:r>
          </w:p>
        </w:tc>
        <w:tc>
          <w:tcPr>
            <w:tcW w:w="220" w:type="dxa"/>
            <w:vAlign w:val="bottom"/>
            <w:tcBorders>
              <w:bottom w:val="single" w:sz="8" w:color="CFF0FC"/>
            </w:tcBorders>
            <w:shd w:val="clear" w:color="auto" w:fill="CFF0FC"/>
          </w:tcPr>
          <w:p>
            <w:pPr>
              <w:spacing w:after="0"/>
              <w:rPr>
                <w:sz w:val="14"/>
                <w:szCs w:val="14"/>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0.5</w:t>
            </w:r>
          </w:p>
        </w:tc>
        <w:tc>
          <w:tcPr>
            <w:tcW w:w="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4,021</w:t>
            </w:r>
          </w:p>
        </w:tc>
        <w:tc>
          <w:tcPr>
            <w:tcW w:w="220" w:type="dxa"/>
            <w:vAlign w:val="bottom"/>
            <w:tcBorders>
              <w:bottom w:val="single" w:sz="8" w:color="CFF0FC"/>
            </w:tcBorders>
            <w:shd w:val="clear" w:color="auto" w:fill="CFF0FC"/>
          </w:tcPr>
          <w:p>
            <w:pPr>
              <w:spacing w:after="0"/>
              <w:rPr>
                <w:sz w:val="14"/>
                <w:szCs w:val="14"/>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0.9</w:t>
            </w:r>
          </w:p>
        </w:tc>
        <w:tc>
          <w:tcPr>
            <w:tcW w:w="200" w:type="dxa"/>
            <w:vAlign w:val="bottom"/>
            <w:tcBorders>
              <w:bottom w:val="single" w:sz="8" w:color="CFF0FC"/>
            </w:tcBorders>
            <w:shd w:val="clear" w:color="auto" w:fill="CFF0FC"/>
          </w:tcPr>
          <w:p>
            <w:pPr>
              <w:spacing w:after="0"/>
              <w:rPr>
                <w:sz w:val="14"/>
                <w:szCs w:val="14"/>
                <w:color w:val="auto"/>
              </w:rPr>
            </w:pPr>
          </w:p>
        </w:tc>
        <w:tc>
          <w:tcPr>
            <w:tcW w:w="140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(50.7)</w:t>
            </w:r>
          </w:p>
        </w:tc>
        <w:tc>
          <w:tcPr>
            <w:tcW w:w="0" w:type="dxa"/>
            <w:vAlign w:val="bottom"/>
          </w:tcPr>
          <w:p>
            <w:pPr>
              <w:spacing w:after="0"/>
              <w:rPr>
                <w:sz w:val="1"/>
                <w:szCs w:val="1"/>
                <w:color w:val="auto"/>
              </w:rPr>
            </w:pPr>
          </w:p>
        </w:tc>
      </w:tr>
      <w:tr>
        <w:trPr>
          <w:trHeight w:val="156"/>
        </w:trPr>
        <w:tc>
          <w:tcPr>
            <w:tcW w:w="4140" w:type="dxa"/>
            <w:vAlign w:val="bottom"/>
            <w:gridSpan w:val="2"/>
          </w:tcPr>
          <w:p>
            <w:pPr>
              <w:spacing w:after="0" w:line="155" w:lineRule="exact"/>
              <w:rPr>
                <w:sz w:val="20"/>
                <w:szCs w:val="20"/>
                <w:color w:val="auto"/>
              </w:rPr>
            </w:pPr>
            <w:r>
              <w:rPr>
                <w:rFonts w:ascii="Arial" w:cs="Arial" w:eastAsia="Arial" w:hAnsi="Arial"/>
                <w:sz w:val="14"/>
                <w:szCs w:val="14"/>
                <w:color w:val="auto"/>
              </w:rPr>
              <w:t>Net loss</w:t>
            </w:r>
          </w:p>
        </w:tc>
        <w:tc>
          <w:tcPr>
            <w:tcW w:w="36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(23,369)</w:t>
            </w:r>
          </w:p>
        </w:tc>
        <w:tc>
          <w:tcPr>
            <w:tcW w:w="220" w:type="dxa"/>
            <w:vAlign w:val="bottom"/>
          </w:tcPr>
          <w:p>
            <w:pPr>
              <w:spacing w:after="0"/>
              <w:rPr>
                <w:sz w:val="13"/>
                <w:szCs w:val="13"/>
                <w:color w:val="auto"/>
              </w:rPr>
            </w:pPr>
          </w:p>
        </w:tc>
        <w:tc>
          <w:tcPr>
            <w:tcW w:w="12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(35,818)</w:t>
            </w:r>
          </w:p>
        </w:tc>
        <w:tc>
          <w:tcPr>
            <w:tcW w:w="220" w:type="dxa"/>
            <w:vAlign w:val="bottom"/>
          </w:tcPr>
          <w:p>
            <w:pPr>
              <w:spacing w:after="0"/>
              <w:rPr>
                <w:sz w:val="13"/>
                <w:szCs w:val="13"/>
                <w:color w:val="auto"/>
              </w:rPr>
            </w:pPr>
          </w:p>
        </w:tc>
        <w:tc>
          <w:tcPr>
            <w:tcW w:w="12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(8.3)</w:t>
            </w:r>
          </w:p>
        </w:tc>
        <w:tc>
          <w:tcPr>
            <w:tcW w:w="200" w:type="dxa"/>
            <w:vAlign w:val="bottom"/>
          </w:tcPr>
          <w:p>
            <w:pPr>
              <w:spacing w:after="0"/>
              <w:rPr>
                <w:sz w:val="13"/>
                <w:szCs w:val="13"/>
                <w:color w:val="auto"/>
              </w:rPr>
            </w:pPr>
          </w:p>
        </w:tc>
        <w:tc>
          <w:tcPr>
            <w:tcW w:w="14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(34.8)</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-351155</wp:posOffset>
            </wp:positionV>
            <wp:extent cx="6858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-351155</wp:posOffset>
            </wp:positionV>
            <wp:extent cx="6858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-351155</wp:posOffset>
            </wp:positionV>
            <wp:extent cx="685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-351155</wp:posOffset>
            </wp:positionV>
            <wp:extent cx="6858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-136525</wp:posOffset>
            </wp:positionV>
            <wp:extent cx="6858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-136525</wp:posOffset>
            </wp:positionV>
            <wp:extent cx="6858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-136525</wp:posOffset>
            </wp:positionV>
            <wp:extent cx="6858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-136525</wp:posOffset>
            </wp:positionV>
            <wp:extent cx="6858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EBITDA and Adjusted EBITDA (Non-GAAP Financial Measures)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The reconciliations of the amounts reported under GAAP for Net loss to EBITDA and Adjusted EBITDA were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8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For the Nine Months Ended</w:t>
            </w:r>
          </w:p>
        </w:tc>
      </w:tr>
      <w:tr>
        <w:trPr>
          <w:trHeight w:val="155"/>
        </w:trPr>
        <w:tc>
          <w:tcPr>
            <w:tcW w:w="756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460" w:type="dxa"/>
            <w:vAlign w:val="bottom"/>
            <w:tcBorders>
              <w:top w:val="single" w:sz="8" w:color="auto"/>
              <w:bottom w:val="single" w:sz="8" w:color="auto"/>
            </w:tcBorders>
          </w:tcPr>
          <w:p>
            <w:pPr>
              <w:jc w:val="right"/>
              <w:ind w:right="248"/>
              <w:spacing w:after="0" w:line="155" w:lineRule="exact"/>
              <w:rPr>
                <w:sz w:val="20"/>
                <w:szCs w:val="20"/>
                <w:color w:val="auto"/>
              </w:rPr>
            </w:pPr>
            <w:r>
              <w:rPr>
                <w:rFonts w:ascii="Arial" w:cs="Arial" w:eastAsia="Arial" w:hAnsi="Arial"/>
                <w:sz w:val="14"/>
                <w:szCs w:val="14"/>
                <w:b w:val="1"/>
                <w:bCs w:val="1"/>
                <w:color w:val="auto"/>
              </w:rPr>
              <w:t>March 29, 2026</w:t>
            </w:r>
          </w:p>
        </w:tc>
        <w:tc>
          <w:tcPr>
            <w:tcW w:w="30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440" w:type="dxa"/>
            <w:vAlign w:val="bottom"/>
            <w:tcBorders>
              <w:top w:val="single" w:sz="8" w:color="auto"/>
              <w:bottom w:val="single" w:sz="8" w:color="auto"/>
            </w:tcBorders>
          </w:tcPr>
          <w:p>
            <w:pPr>
              <w:jc w:val="right"/>
              <w:ind w:right="248"/>
              <w:spacing w:after="0" w:line="155" w:lineRule="exact"/>
              <w:rPr>
                <w:sz w:val="20"/>
                <w:szCs w:val="20"/>
                <w:color w:val="auto"/>
              </w:rPr>
            </w:pPr>
            <w:r>
              <w:rPr>
                <w:rFonts w:ascii="Arial" w:cs="Arial" w:eastAsia="Arial" w:hAnsi="Arial"/>
                <w:sz w:val="14"/>
                <w:szCs w:val="14"/>
                <w:b w:val="1"/>
                <w:bCs w:val="1"/>
                <w:color w:val="auto"/>
              </w:rPr>
              <w:t>March 30, 2025</w:t>
            </w:r>
          </w:p>
        </w:tc>
        <w:tc>
          <w:tcPr>
            <w:tcW w:w="100" w:type="dxa"/>
            <w:vAlign w:val="bottom"/>
          </w:tcPr>
          <w:p>
            <w:pPr>
              <w:spacing w:after="0"/>
              <w:rPr>
                <w:sz w:val="13"/>
                <w:szCs w:val="13"/>
                <w:color w:val="auto"/>
              </w:rPr>
            </w:pPr>
          </w:p>
        </w:tc>
      </w:tr>
      <w:tr>
        <w:trPr>
          <w:trHeight w:val="155"/>
        </w:trPr>
        <w:tc>
          <w:tcPr>
            <w:tcW w:w="756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Net loss</w:t>
            </w:r>
          </w:p>
        </w:tc>
        <w:tc>
          <w:tcPr>
            <w:tcW w:w="20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760" w:type="dxa"/>
            <w:vAlign w:val="bottom"/>
            <w:gridSpan w:val="2"/>
            <w:shd w:val="clear" w:color="auto" w:fill="CFF0FC"/>
          </w:tcPr>
          <w:p>
            <w:pPr>
              <w:jc w:val="right"/>
              <w:ind w:right="260"/>
              <w:spacing w:after="0" w:line="155" w:lineRule="exact"/>
              <w:rPr>
                <w:sz w:val="20"/>
                <w:szCs w:val="20"/>
                <w:color w:val="auto"/>
              </w:rPr>
            </w:pPr>
            <w:r>
              <w:rPr>
                <w:rFonts w:ascii="Arial" w:cs="Arial" w:eastAsia="Arial" w:hAnsi="Arial"/>
                <w:sz w:val="14"/>
                <w:szCs w:val="14"/>
                <w:color w:val="auto"/>
              </w:rPr>
              <w:t>(23,369)</w:t>
            </w:r>
          </w:p>
        </w:tc>
        <w:tc>
          <w:tcPr>
            <w:tcW w:w="180" w:type="dxa"/>
            <w:vAlign w:val="bottom"/>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54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(35,818)</w:t>
            </w:r>
          </w:p>
        </w:tc>
      </w:tr>
      <w:tr>
        <w:trPr>
          <w:trHeight w:val="162"/>
        </w:trPr>
        <w:tc>
          <w:tcPr>
            <w:tcW w:w="7560" w:type="dxa"/>
            <w:vAlign w:val="bottom"/>
          </w:tcPr>
          <w:p>
            <w:pPr>
              <w:spacing w:after="0"/>
              <w:rPr>
                <w:sz w:val="20"/>
                <w:szCs w:val="20"/>
                <w:color w:val="auto"/>
              </w:rPr>
            </w:pPr>
            <w:r>
              <w:rPr>
                <w:rFonts w:ascii="Arial" w:cs="Arial" w:eastAsia="Arial" w:hAnsi="Arial"/>
                <w:sz w:val="14"/>
                <w:szCs w:val="14"/>
                <w:color w:val="auto"/>
              </w:rPr>
              <w:t>Interest expense, net</w:t>
            </w:r>
          </w:p>
        </w:tc>
        <w:tc>
          <w:tcPr>
            <w:tcW w:w="2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4,070</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6,690</w:t>
            </w:r>
          </w:p>
        </w:tc>
        <w:tc>
          <w:tcPr>
            <w:tcW w:w="100" w:type="dxa"/>
            <w:vAlign w:val="bottom"/>
          </w:tcPr>
          <w:p>
            <w:pPr>
              <w:spacing w:after="0"/>
              <w:rPr>
                <w:sz w:val="14"/>
                <w:szCs w:val="14"/>
                <w:color w:val="auto"/>
              </w:rPr>
            </w:pPr>
          </w:p>
        </w:tc>
      </w:tr>
      <w:tr>
        <w:trPr>
          <w:trHeight w:val="162"/>
        </w:trPr>
        <w:tc>
          <w:tcPr>
            <w:tcW w:w="7560" w:type="dxa"/>
            <w:vAlign w:val="bottom"/>
            <w:shd w:val="clear" w:color="auto" w:fill="CFF0FC"/>
          </w:tcPr>
          <w:p>
            <w:pPr>
              <w:spacing w:after="0"/>
              <w:rPr>
                <w:sz w:val="20"/>
                <w:szCs w:val="20"/>
                <w:color w:val="auto"/>
              </w:rPr>
            </w:pPr>
            <w:r>
              <w:rPr>
                <w:rFonts w:ascii="Arial" w:cs="Arial" w:eastAsia="Arial" w:hAnsi="Arial"/>
                <w:sz w:val="14"/>
                <w:szCs w:val="14"/>
                <w:color w:val="auto"/>
              </w:rPr>
              <w:t>Provision for income taxes</w:t>
            </w:r>
          </w:p>
        </w:tc>
        <w:tc>
          <w:tcPr>
            <w:tcW w:w="2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1,984</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4,021</w:t>
            </w:r>
          </w:p>
        </w:tc>
        <w:tc>
          <w:tcPr>
            <w:tcW w:w="100" w:type="dxa"/>
            <w:vAlign w:val="bottom"/>
            <w:shd w:val="clear" w:color="auto" w:fill="CFF0FC"/>
          </w:tcPr>
          <w:p>
            <w:pPr>
              <w:spacing w:after="0"/>
              <w:rPr>
                <w:sz w:val="14"/>
                <w:szCs w:val="14"/>
                <w:color w:val="auto"/>
              </w:rPr>
            </w:pPr>
          </w:p>
        </w:tc>
      </w:tr>
      <w:tr>
        <w:trPr>
          <w:trHeight w:val="162"/>
        </w:trPr>
        <w:tc>
          <w:tcPr>
            <w:tcW w:w="7560" w:type="dxa"/>
            <w:vAlign w:val="bottom"/>
          </w:tcPr>
          <w:p>
            <w:pPr>
              <w:spacing w:after="0" w:line="162" w:lineRule="exact"/>
              <w:rPr>
                <w:sz w:val="20"/>
                <w:szCs w:val="20"/>
                <w:color w:val="auto"/>
              </w:rPr>
            </w:pPr>
            <w:r>
              <w:rPr>
                <w:rFonts w:ascii="Arial" w:cs="Arial" w:eastAsia="Arial" w:hAnsi="Arial"/>
                <w:sz w:val="14"/>
                <w:szCs w:val="14"/>
                <w:color w:val="auto"/>
              </w:rPr>
              <w:t xml:space="preserve">Depreciation and amortization expense </w:t>
            </w:r>
            <w:r>
              <w:rPr>
                <w:rFonts w:ascii="Arial" w:cs="Arial" w:eastAsia="Arial" w:hAnsi="Arial"/>
                <w:sz w:val="18"/>
                <w:szCs w:val="18"/>
                <w:color w:val="auto"/>
                <w:vertAlign w:val="superscript"/>
              </w:rPr>
              <w:t>(1)</w:t>
            </w: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17,926</w:t>
            </w: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19,046</w:t>
            </w:r>
          </w:p>
        </w:tc>
        <w:tc>
          <w:tcPr>
            <w:tcW w:w="100" w:type="dxa"/>
            <w:vAlign w:val="bottom"/>
          </w:tcPr>
          <w:p>
            <w:pPr>
              <w:spacing w:after="0"/>
              <w:rPr>
                <w:sz w:val="14"/>
                <w:szCs w:val="14"/>
                <w:color w:val="auto"/>
              </w:rPr>
            </w:pPr>
          </w:p>
        </w:tc>
      </w:tr>
      <w:tr>
        <w:trPr>
          <w:trHeight w:val="155"/>
        </w:trPr>
        <w:tc>
          <w:tcPr>
            <w:tcW w:w="756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EBITDA</w:t>
            </w:r>
          </w:p>
        </w:tc>
        <w:tc>
          <w:tcPr>
            <w:tcW w:w="200" w:type="dxa"/>
            <w:vAlign w:val="bottom"/>
            <w:shd w:val="clear" w:color="auto" w:fill="CFF0FC"/>
          </w:tcPr>
          <w:p>
            <w:pPr>
              <w:spacing w:after="0"/>
              <w:rPr>
                <w:sz w:val="13"/>
                <w:szCs w:val="13"/>
                <w:color w:val="auto"/>
              </w:rPr>
            </w:pPr>
          </w:p>
        </w:tc>
        <w:tc>
          <w:tcPr>
            <w:tcW w:w="14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611</w:t>
            </w:r>
          </w:p>
        </w:tc>
        <w:tc>
          <w:tcPr>
            <w:tcW w:w="3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54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(6,061)</w:t>
            </w:r>
          </w:p>
        </w:tc>
      </w:tr>
      <w:tr>
        <w:trPr>
          <w:trHeight w:val="162"/>
        </w:trPr>
        <w:tc>
          <w:tcPr>
            <w:tcW w:w="7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7560" w:type="dxa"/>
            <w:vAlign w:val="bottom"/>
            <w:shd w:val="clear" w:color="auto" w:fill="CFF0FC"/>
          </w:tcPr>
          <w:p>
            <w:pPr>
              <w:spacing w:after="0" w:line="162" w:lineRule="exact"/>
              <w:rPr>
                <w:sz w:val="20"/>
                <w:szCs w:val="20"/>
                <w:color w:val="auto"/>
              </w:rPr>
            </w:pPr>
            <w:r>
              <w:rPr>
                <w:rFonts w:ascii="Arial" w:cs="Arial" w:eastAsia="Arial" w:hAnsi="Arial"/>
                <w:sz w:val="14"/>
                <w:szCs w:val="14"/>
                <w:color w:val="auto"/>
              </w:rPr>
              <w:t xml:space="preserve">Restructuring costs, net </w:t>
            </w:r>
            <w:r>
              <w:rPr>
                <w:rFonts w:ascii="Arial" w:cs="Arial" w:eastAsia="Arial" w:hAnsi="Arial"/>
                <w:sz w:val="18"/>
                <w:szCs w:val="18"/>
                <w:color w:val="auto"/>
                <w:vertAlign w:val="superscript"/>
              </w:rPr>
              <w:t>(2)</w:t>
            </w:r>
          </w:p>
        </w:tc>
        <w:tc>
          <w:tcPr>
            <w:tcW w:w="2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785</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7560" w:type="dxa"/>
            <w:vAlign w:val="bottom"/>
          </w:tcPr>
          <w:p>
            <w:pPr>
              <w:spacing w:after="0" w:line="162" w:lineRule="exact"/>
              <w:rPr>
                <w:sz w:val="20"/>
                <w:szCs w:val="20"/>
                <w:color w:val="auto"/>
              </w:rPr>
            </w:pPr>
            <w:r>
              <w:rPr>
                <w:rFonts w:ascii="Arial" w:cs="Arial" w:eastAsia="Arial" w:hAnsi="Arial"/>
                <w:sz w:val="14"/>
                <w:szCs w:val="14"/>
                <w:color w:val="auto"/>
              </w:rPr>
              <w:t xml:space="preserve">Transition costs </w:t>
            </w:r>
            <w:r>
              <w:rPr>
                <w:rFonts w:ascii="Arial" w:cs="Arial" w:eastAsia="Arial" w:hAnsi="Arial"/>
                <w:sz w:val="18"/>
                <w:szCs w:val="18"/>
                <w:color w:val="auto"/>
                <w:vertAlign w:val="superscript"/>
              </w:rPr>
              <w:t>(3)</w:t>
            </w:r>
          </w:p>
        </w:tc>
        <w:tc>
          <w:tcPr>
            <w:tcW w:w="2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1,068</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2,900</w:t>
            </w:r>
          </w:p>
        </w:tc>
        <w:tc>
          <w:tcPr>
            <w:tcW w:w="100" w:type="dxa"/>
            <w:vAlign w:val="bottom"/>
          </w:tcPr>
          <w:p>
            <w:pPr>
              <w:spacing w:after="0"/>
              <w:rPr>
                <w:sz w:val="14"/>
                <w:szCs w:val="14"/>
                <w:color w:val="auto"/>
              </w:rPr>
            </w:pPr>
          </w:p>
        </w:tc>
      </w:tr>
      <w:tr>
        <w:trPr>
          <w:trHeight w:val="162"/>
        </w:trPr>
        <w:tc>
          <w:tcPr>
            <w:tcW w:w="7560" w:type="dxa"/>
            <w:vAlign w:val="bottom"/>
            <w:shd w:val="clear" w:color="auto" w:fill="CFF0FC"/>
          </w:tcPr>
          <w:p>
            <w:pPr>
              <w:spacing w:after="0" w:line="162" w:lineRule="exact"/>
              <w:rPr>
                <w:sz w:val="20"/>
                <w:szCs w:val="20"/>
                <w:color w:val="auto"/>
              </w:rPr>
            </w:pPr>
            <w:r>
              <w:rPr>
                <w:rFonts w:ascii="Arial" w:cs="Arial" w:eastAsia="Arial" w:hAnsi="Arial"/>
                <w:sz w:val="14"/>
                <w:szCs w:val="14"/>
                <w:color w:val="auto"/>
              </w:rPr>
              <w:t xml:space="preserve">Gain on foreign currency transaction, net </w:t>
            </w:r>
            <w:r>
              <w:rPr>
                <w:rFonts w:ascii="Arial" w:cs="Arial" w:eastAsia="Arial" w:hAnsi="Arial"/>
                <w:sz w:val="18"/>
                <w:szCs w:val="18"/>
                <w:color w:val="auto"/>
                <w:vertAlign w:val="superscript"/>
              </w:rPr>
              <w:t>(4)</w:t>
            </w:r>
          </w:p>
        </w:tc>
        <w:tc>
          <w:tcPr>
            <w:tcW w:w="200" w:type="dxa"/>
            <w:vAlign w:val="bottom"/>
            <w:shd w:val="clear" w:color="auto" w:fill="CFF0FC"/>
          </w:tcPr>
          <w:p>
            <w:pPr>
              <w:spacing w:after="0"/>
              <w:rPr>
                <w:sz w:val="14"/>
                <w:szCs w:val="14"/>
                <w:color w:val="auto"/>
              </w:rPr>
            </w:pPr>
          </w:p>
        </w:tc>
        <w:tc>
          <w:tcPr>
            <w:tcW w:w="17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(1,775)</w:t>
            </w:r>
          </w:p>
        </w:tc>
        <w:tc>
          <w:tcPr>
            <w:tcW w:w="18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7560" w:type="dxa"/>
            <w:vAlign w:val="bottom"/>
          </w:tcPr>
          <w:p>
            <w:pPr>
              <w:spacing w:after="0" w:line="162" w:lineRule="exact"/>
              <w:rPr>
                <w:sz w:val="20"/>
                <w:szCs w:val="20"/>
                <w:color w:val="auto"/>
              </w:rPr>
            </w:pPr>
            <w:r>
              <w:rPr>
                <w:rFonts w:ascii="Arial" w:cs="Arial" w:eastAsia="Arial" w:hAnsi="Arial"/>
                <w:sz w:val="14"/>
                <w:szCs w:val="14"/>
                <w:color w:val="auto"/>
              </w:rPr>
              <w:t xml:space="preserve">Gain on sale of assets </w:t>
            </w:r>
            <w:r>
              <w:rPr>
                <w:rFonts w:ascii="Arial" w:cs="Arial" w:eastAsia="Arial" w:hAnsi="Arial"/>
                <w:sz w:val="18"/>
                <w:szCs w:val="18"/>
                <w:color w:val="auto"/>
                <w:vertAlign w:val="superscript"/>
              </w:rPr>
              <w:t>(5)</w:t>
            </w:r>
          </w:p>
        </w:tc>
        <w:tc>
          <w:tcPr>
            <w:tcW w:w="200" w:type="dxa"/>
            <w:vAlign w:val="bottom"/>
          </w:tcPr>
          <w:p>
            <w:pPr>
              <w:spacing w:after="0"/>
              <w:rPr>
                <w:sz w:val="14"/>
                <w:szCs w:val="14"/>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4"/>
                <w:szCs w:val="14"/>
                <w:color w:val="auto"/>
              </w:rPr>
              <w:t>(4,296)</w:t>
            </w:r>
          </w:p>
        </w:tc>
      </w:tr>
      <w:tr>
        <w:trPr>
          <w:trHeight w:val="195"/>
        </w:trPr>
        <w:tc>
          <w:tcPr>
            <w:tcW w:w="756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Adjusted EBITDA</w:t>
            </w:r>
          </w:p>
        </w:tc>
        <w:tc>
          <w:tcPr>
            <w:tcW w:w="200" w:type="dxa"/>
            <w:vAlign w:val="bottom"/>
            <w:tcBorders>
              <w:top w:val="single" w:sz="8" w:color="auto"/>
              <w:bottom w:val="single" w:sz="8" w:color="auto"/>
            </w:tcBorders>
            <w:shd w:val="clear" w:color="auto" w:fill="CFF0FC"/>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689</w:t>
            </w:r>
          </w:p>
        </w:tc>
        <w:tc>
          <w:tcPr>
            <w:tcW w:w="3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(7,457)</w:t>
            </w:r>
          </w:p>
        </w:tc>
        <w:tc>
          <w:tcPr>
            <w:tcW w:w="10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-24765</wp:posOffset>
            </wp:positionV>
            <wp:extent cx="7747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-7620</wp:posOffset>
            </wp:positionV>
            <wp:extent cx="7747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9" w:lineRule="exact"/>
        <w:rPr>
          <w:sz w:val="20"/>
          <w:szCs w:val="20"/>
          <w:color w:val="auto"/>
        </w:rPr>
      </w:pPr>
    </w:p>
    <w:p>
      <w:pPr>
        <w:ind w:left="380" w:hanging="372"/>
        <w:spacing w:after="0" w:line="285" w:lineRule="auto"/>
        <w:tabs>
          <w:tab w:leader="none" w:pos="3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Within this reconciliation, depreciation and amortization expense excludes the amortization of debt issuance costs, which are reflected in interest expense, net. However, within the accompanying Condensed Consolidated Statements of Cash Flows, amortization of debt issuance costs is reflected in depreciation and amortization expense.</w:t>
      </w:r>
    </w:p>
    <w:p>
      <w:pPr>
        <w:spacing w:after="0" w:line="22" w:lineRule="exact"/>
        <w:rPr>
          <w:rFonts w:ascii="Arial" w:cs="Arial" w:eastAsia="Arial" w:hAnsi="Arial"/>
          <w:sz w:val="14"/>
          <w:szCs w:val="14"/>
          <w:color w:val="auto"/>
        </w:rPr>
      </w:pPr>
    </w:p>
    <w:p>
      <w:pPr>
        <w:ind w:left="380" w:hanging="372"/>
        <w:spacing w:after="0" w:line="262" w:lineRule="auto"/>
        <w:tabs>
          <w:tab w:leader="none" w:pos="3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 the second quarter of fiscal 2026, UNIFI recorded employee separation costs of $1,093 in connection with the Fiscal 2026 Profit Improvement Plan and a $308 gain from disposals of assets from the consolidation of Americas yarn manufacturing operations.</w:t>
      </w:r>
    </w:p>
    <w:p>
      <w:pPr>
        <w:ind w:left="380" w:hanging="372"/>
        <w:spacing w:after="0"/>
        <w:tabs>
          <w:tab w:leader="none" w:pos="3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 the first quarter of fiscal 2026, UNIFI incurred various transition costs totaling $1,068 in connection with the consolidation of its yarn manufacturing operations including</w:t>
      </w:r>
    </w:p>
    <w:p>
      <w:pPr>
        <w:spacing w:after="0" w:line="13" w:lineRule="exact"/>
        <w:rPr>
          <w:rFonts w:ascii="Arial" w:cs="Arial" w:eastAsia="Arial" w:hAnsi="Arial"/>
          <w:sz w:val="14"/>
          <w:szCs w:val="14"/>
          <w:color w:val="auto"/>
        </w:rPr>
      </w:pPr>
    </w:p>
    <w:p>
      <w:pPr>
        <w:jc w:val="both"/>
        <w:ind w:left="380" w:firstLine="2"/>
        <w:spacing w:after="0" w:line="246" w:lineRule="auto"/>
        <w:tabs>
          <w:tab w:leader="none" w:pos="559" w:val="left"/>
        </w:tabs>
        <w:numPr>
          <w:ilvl w:val="1"/>
          <w:numId w:val="14"/>
        </w:numPr>
        <w:rPr>
          <w:rFonts w:ascii="Arial" w:cs="Arial" w:eastAsia="Arial" w:hAnsi="Arial"/>
          <w:sz w:val="14"/>
          <w:szCs w:val="14"/>
          <w:color w:val="auto"/>
        </w:rPr>
      </w:pPr>
      <w:r>
        <w:rPr>
          <w:rFonts w:ascii="Arial" w:cs="Arial" w:eastAsia="Arial" w:hAnsi="Arial"/>
          <w:sz w:val="14"/>
          <w:szCs w:val="14"/>
          <w:color w:val="auto"/>
        </w:rPr>
        <w:t>facility closure and equipment relocation costs (including asset impairments and disposals) of $1,021, and (ii) employee separation costs of $47. The facility closure, equipment relocation, and employee separation costs were all recorded within Restructuring costs, net in the Condensed Consolidated Statements of Operations. In the third quarter of fiscal 2025, UNIFI incurred various transition costs totaling $2,900 in connection with the consolidation of its yarn manufacturing operations including (i) facility closure and equipment relocation costs of $1,088, (ii) inventory write-downs of $1,000, (iii) excess manufacturing costs of $580, and (iv) employee separation or retention costs of $232. The facility closure, equipment relocation, employee separation and retention costs were all recorded within Restructuring costs and the inventory write-downs and excess manufacturing costs were recorded within Cost of sales in the Condensed Consolidated Statements of Operations.</w:t>
      </w:r>
    </w:p>
    <w:p>
      <w:pPr>
        <w:spacing w:after="0" w:line="48" w:lineRule="exact"/>
        <w:rPr>
          <w:rFonts w:ascii="Arial" w:cs="Arial" w:eastAsia="Arial" w:hAnsi="Arial"/>
          <w:sz w:val="14"/>
          <w:szCs w:val="14"/>
          <w:color w:val="auto"/>
        </w:rPr>
      </w:pPr>
    </w:p>
    <w:p>
      <w:pPr>
        <w:jc w:val="both"/>
        <w:ind w:left="380" w:hanging="372"/>
        <w:spacing w:after="0" w:line="263" w:lineRule="auto"/>
        <w:tabs>
          <w:tab w:leader="none" w:pos="3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 the third quarter of fiscal 2026, UNIFI recorded a foreign currency gain of $1,775. In December 2025, Brazil declared dividends against the majority of its retained earnings in connection with certain tax law changes related to future dividends. Foreign currency transaction gains (losses) are recorded to reflect changes in the exchange rate of the Brazilian Real to the U.S. Dollar while the dividend payable is outstanding.</w:t>
      </w:r>
    </w:p>
    <w:p>
      <w:pPr>
        <w:spacing w:after="0" w:line="24" w:lineRule="exact"/>
        <w:rPr>
          <w:rFonts w:ascii="Arial" w:cs="Arial" w:eastAsia="Arial" w:hAnsi="Arial"/>
          <w:sz w:val="14"/>
          <w:szCs w:val="14"/>
          <w:color w:val="auto"/>
        </w:rPr>
      </w:pPr>
    </w:p>
    <w:p>
      <w:pPr>
        <w:ind w:left="380" w:hanging="372"/>
        <w:spacing w:after="0"/>
        <w:tabs>
          <w:tab w:leader="none" w:pos="3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 the second quarter of fiscal 2025, UNIFI recorded a gain of $4,296 related to the sale of a warehouse located in Yadkinville, North Carolina.</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i w:val="1"/>
          <w:iCs w:val="1"/>
          <w:u w:val="single" w:color="auto"/>
          <w:color w:val="auto"/>
        </w:rPr>
        <w:t>Adjusted Net Loss and Adjusted EPS (Non-GAAP Financial Measures)</w:t>
      </w:r>
    </w:p>
    <w:p>
      <w:pPr>
        <w:spacing w:after="0" w:line="107" w:lineRule="exact"/>
        <w:rPr>
          <w:sz w:val="20"/>
          <w:szCs w:val="20"/>
          <w:color w:val="auto"/>
        </w:rPr>
      </w:pPr>
    </w:p>
    <w:p>
      <w:pPr>
        <w:spacing w:after="0" w:line="285" w:lineRule="auto"/>
        <w:rPr>
          <w:sz w:val="20"/>
          <w:szCs w:val="20"/>
          <w:color w:val="auto"/>
        </w:rPr>
      </w:pPr>
      <w:r>
        <w:rPr>
          <w:rFonts w:ascii="Arial" w:cs="Arial" w:eastAsia="Arial" w:hAnsi="Arial"/>
          <w:sz w:val="14"/>
          <w:szCs w:val="14"/>
          <w:color w:val="auto"/>
        </w:rPr>
        <w:t>The tables below set forth reconciliations of (i) Loss before income taxes (“Pre-tax Loss”), (ii) Provision for income taxes (“Tax Impact”), (iii) Net Loss to Adjusted Net Loss, and (iv) Diluted EPS to Adjusted EPS.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40" w:type="dxa"/>
            <w:vAlign w:val="bottom"/>
            <w:gridSpan w:val="14"/>
          </w:tcPr>
          <w:p>
            <w:pPr>
              <w:jc w:val="right"/>
              <w:ind w:right="460"/>
              <w:spacing w:after="0"/>
              <w:rPr>
                <w:sz w:val="20"/>
                <w:szCs w:val="20"/>
                <w:color w:val="auto"/>
              </w:rPr>
            </w:pPr>
            <w:r>
              <w:rPr>
                <w:rFonts w:ascii="Arial" w:cs="Arial" w:eastAsia="Arial" w:hAnsi="Arial"/>
                <w:sz w:val="14"/>
                <w:szCs w:val="14"/>
                <w:b w:val="1"/>
                <w:bCs w:val="1"/>
                <w:color w:val="auto"/>
              </w:rPr>
              <w:t>For the Nine Months Ended March 29, 2026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500" w:type="dxa"/>
            <w:vAlign w:val="bottom"/>
            <w:gridSpan w:val="14"/>
          </w:tcPr>
          <w:p>
            <w:pPr>
              <w:jc w:val="right"/>
              <w:ind w:right="380"/>
              <w:spacing w:after="0"/>
              <w:rPr>
                <w:sz w:val="20"/>
                <w:szCs w:val="20"/>
                <w:color w:val="auto"/>
              </w:rPr>
            </w:pPr>
            <w:r>
              <w:rPr>
                <w:rFonts w:ascii="Arial" w:cs="Arial" w:eastAsia="Arial" w:hAnsi="Arial"/>
                <w:sz w:val="14"/>
                <w:szCs w:val="14"/>
                <w:b w:val="1"/>
                <w:bCs w:val="1"/>
                <w:color w:val="auto"/>
              </w:rPr>
              <w:t>For the Nine Months Ended March 30, 2025</w:t>
            </w:r>
          </w:p>
        </w:tc>
      </w:tr>
      <w:tr>
        <w:trPr>
          <w:trHeight w:val="146"/>
        </w:trPr>
        <w:tc>
          <w:tcPr>
            <w:tcW w:w="3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208"/>
              <w:spacing w:after="0" w:line="147" w:lineRule="exact"/>
              <w:rPr>
                <w:sz w:val="20"/>
                <w:szCs w:val="20"/>
                <w:color w:val="auto"/>
              </w:rPr>
            </w:pPr>
            <w:r>
              <w:rPr>
                <w:rFonts w:ascii="Arial" w:cs="Arial" w:eastAsia="Arial" w:hAnsi="Arial"/>
                <w:sz w:val="14"/>
                <w:szCs w:val="14"/>
                <w:b w:val="1"/>
                <w:bCs w:val="1"/>
                <w:color w:val="auto"/>
              </w:rPr>
              <w:t>Pre-tax</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379"/>
              <w:spacing w:after="0" w:line="147" w:lineRule="exact"/>
              <w:rPr>
                <w:sz w:val="20"/>
                <w:szCs w:val="20"/>
                <w:color w:val="auto"/>
              </w:rPr>
            </w:pPr>
            <w:r>
              <w:rPr>
                <w:rFonts w:ascii="Arial" w:cs="Arial" w:eastAsia="Arial" w:hAnsi="Arial"/>
                <w:sz w:val="14"/>
                <w:szCs w:val="14"/>
                <w:b w:val="1"/>
                <w:bCs w:val="1"/>
                <w:color w:val="auto"/>
              </w:rPr>
              <w:t>Tax</w:t>
            </w: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48"/>
              <w:spacing w:after="0" w:line="147" w:lineRule="exact"/>
              <w:rPr>
                <w:sz w:val="20"/>
                <w:szCs w:val="20"/>
                <w:color w:val="auto"/>
              </w:rPr>
            </w:pPr>
            <w:r>
              <w:rPr>
                <w:rFonts w:ascii="Arial" w:cs="Arial" w:eastAsia="Arial" w:hAnsi="Arial"/>
                <w:sz w:val="14"/>
                <w:szCs w:val="14"/>
                <w:b w:val="1"/>
                <w:bCs w:val="1"/>
                <w:color w:val="auto"/>
              </w:rPr>
              <w:t>Diluted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188"/>
              <w:spacing w:after="0" w:line="147" w:lineRule="exact"/>
              <w:rPr>
                <w:sz w:val="20"/>
                <w:szCs w:val="20"/>
                <w:color w:val="auto"/>
              </w:rPr>
            </w:pPr>
            <w:r>
              <w:rPr>
                <w:rFonts w:ascii="Arial" w:cs="Arial" w:eastAsia="Arial" w:hAnsi="Arial"/>
                <w:sz w:val="14"/>
                <w:szCs w:val="14"/>
                <w:b w:val="1"/>
                <w:bCs w:val="1"/>
                <w:color w:val="auto"/>
              </w:rPr>
              <w:t>Pre-tax</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328"/>
              <w:spacing w:after="0" w:line="147" w:lineRule="exact"/>
              <w:rPr>
                <w:sz w:val="20"/>
                <w:szCs w:val="20"/>
                <w:color w:val="auto"/>
              </w:rPr>
            </w:pPr>
            <w:r>
              <w:rPr>
                <w:rFonts w:ascii="Arial" w:cs="Arial" w:eastAsia="Arial" w:hAnsi="Arial"/>
                <w:sz w:val="14"/>
                <w:szCs w:val="14"/>
                <w:b w:val="1"/>
                <w:bCs w:val="1"/>
                <w:color w:val="auto"/>
              </w:rPr>
              <w:t>Tax</w:t>
            </w: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68"/>
              <w:spacing w:after="0" w:line="147" w:lineRule="exact"/>
              <w:rPr>
                <w:sz w:val="20"/>
                <w:szCs w:val="20"/>
                <w:color w:val="auto"/>
              </w:rPr>
            </w:pPr>
            <w:r>
              <w:rPr>
                <w:rFonts w:ascii="Arial" w:cs="Arial" w:eastAsia="Arial" w:hAnsi="Arial"/>
                <w:sz w:val="14"/>
                <w:szCs w:val="14"/>
                <w:b w:val="1"/>
                <w:bCs w:val="1"/>
                <w:color w:val="auto"/>
              </w:rPr>
              <w:t>Diluted</w:t>
            </w:r>
          </w:p>
        </w:tc>
        <w:tc>
          <w:tcPr>
            <w:tcW w:w="100" w:type="dxa"/>
            <w:vAlign w:val="bottom"/>
          </w:tcPr>
          <w:p>
            <w:pPr>
              <w:spacing w:after="0"/>
              <w:rPr>
                <w:sz w:val="12"/>
                <w:szCs w:val="12"/>
                <w:color w:val="auto"/>
              </w:rPr>
            </w:pPr>
          </w:p>
        </w:tc>
      </w:tr>
      <w:tr>
        <w:trPr>
          <w:trHeight w:val="171"/>
        </w:trPr>
        <w:tc>
          <w:tcPr>
            <w:tcW w:w="3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Loss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Impact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Net Loss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EPS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Loss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Impact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Net Loss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EPS</w:t>
            </w:r>
          </w:p>
        </w:tc>
        <w:tc>
          <w:tcPr>
            <w:tcW w:w="100" w:type="dxa"/>
            <w:vAlign w:val="bottom"/>
          </w:tcPr>
          <w:p>
            <w:pPr>
              <w:spacing w:after="0"/>
              <w:rPr>
                <w:sz w:val="14"/>
                <w:szCs w:val="14"/>
                <w:color w:val="auto"/>
              </w:rPr>
            </w:pPr>
          </w:p>
        </w:tc>
      </w:tr>
      <w:tr>
        <w:trPr>
          <w:trHeight w:val="156"/>
        </w:trPr>
        <w:tc>
          <w:tcPr>
            <w:tcW w:w="344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GAAP results</w:t>
            </w:r>
          </w:p>
        </w:tc>
        <w:tc>
          <w:tcPr>
            <w:tcW w:w="50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(21,385)</w:t>
            </w:r>
          </w:p>
        </w:tc>
        <w:tc>
          <w:tcPr>
            <w:tcW w:w="22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FF0FC"/>
          </w:tcPr>
          <w:p>
            <w:pPr>
              <w:jc w:val="right"/>
              <w:ind w:right="59"/>
              <w:spacing w:after="0" w:line="155" w:lineRule="exact"/>
              <w:rPr>
                <w:sz w:val="20"/>
                <w:szCs w:val="20"/>
                <w:color w:val="auto"/>
              </w:rPr>
            </w:pPr>
            <w:r>
              <w:rPr>
                <w:rFonts w:ascii="Arial" w:cs="Arial" w:eastAsia="Arial" w:hAnsi="Arial"/>
                <w:sz w:val="14"/>
                <w:szCs w:val="14"/>
                <w:color w:val="auto"/>
              </w:rPr>
              <w:t>(1,984)</w:t>
            </w:r>
          </w:p>
        </w:tc>
        <w:tc>
          <w:tcPr>
            <w:tcW w:w="260" w:type="dxa"/>
            <w:vAlign w:val="bottom"/>
            <w:gridSpan w:val="2"/>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(23,369)</w:t>
            </w:r>
          </w:p>
        </w:tc>
        <w:tc>
          <w:tcPr>
            <w:tcW w:w="16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(1.27)</w:t>
            </w:r>
          </w:p>
        </w:tc>
        <w:tc>
          <w:tcPr>
            <w:tcW w:w="16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(31,797)</w:t>
            </w:r>
          </w:p>
        </w:tc>
        <w:tc>
          <w:tcPr>
            <w:tcW w:w="18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(4,021)</w:t>
            </w:r>
          </w:p>
        </w:tc>
        <w:tc>
          <w:tcPr>
            <w:tcW w:w="22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FF0FC"/>
          </w:tcPr>
          <w:p>
            <w:pPr>
              <w:jc w:val="right"/>
              <w:ind w:right="59"/>
              <w:spacing w:after="0" w:line="155" w:lineRule="exact"/>
              <w:rPr>
                <w:sz w:val="20"/>
                <w:szCs w:val="20"/>
                <w:color w:val="auto"/>
              </w:rPr>
            </w:pPr>
            <w:r>
              <w:rPr>
                <w:rFonts w:ascii="Arial" w:cs="Arial" w:eastAsia="Arial" w:hAnsi="Arial"/>
                <w:sz w:val="14"/>
                <w:szCs w:val="14"/>
                <w:color w:val="auto"/>
              </w:rPr>
              <w:t>(35,818)</w:t>
            </w:r>
          </w:p>
        </w:tc>
        <w:tc>
          <w:tcPr>
            <w:tcW w:w="16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(1.96)</w:t>
            </w:r>
          </w:p>
        </w:tc>
      </w:tr>
      <w:tr>
        <w:trPr>
          <w:trHeight w:val="162"/>
        </w:trPr>
        <w:tc>
          <w:tcPr>
            <w:tcW w:w="3440" w:type="dxa"/>
            <w:vAlign w:val="bottom"/>
          </w:tcPr>
          <w:p>
            <w:pPr>
              <w:spacing w:after="0" w:line="162" w:lineRule="exact"/>
              <w:rPr>
                <w:sz w:val="20"/>
                <w:szCs w:val="20"/>
                <w:color w:val="auto"/>
              </w:rPr>
            </w:pPr>
            <w:r>
              <w:rPr>
                <w:rFonts w:ascii="Arial" w:cs="Arial" w:eastAsia="Arial" w:hAnsi="Arial"/>
                <w:sz w:val="14"/>
                <w:szCs w:val="14"/>
                <w:color w:val="auto"/>
              </w:rPr>
              <w:t xml:space="preserve">Restructuring costs, net </w:t>
            </w:r>
            <w:r>
              <w:rPr>
                <w:rFonts w:ascii="Arial" w:cs="Arial" w:eastAsia="Arial" w:hAnsi="Arial"/>
                <w:sz w:val="18"/>
                <w:szCs w:val="18"/>
                <w:color w:val="auto"/>
                <w:vertAlign w:val="superscript"/>
              </w:rPr>
              <w:t>(1)</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785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59"/>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774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0.04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3440" w:type="dxa"/>
            <w:vAlign w:val="bottom"/>
            <w:shd w:val="clear" w:color="auto" w:fill="CFF0FC"/>
          </w:tcPr>
          <w:p>
            <w:pPr>
              <w:spacing w:after="0" w:line="162" w:lineRule="exact"/>
              <w:rPr>
                <w:sz w:val="20"/>
                <w:szCs w:val="20"/>
                <w:color w:val="auto"/>
              </w:rPr>
            </w:pPr>
            <w:r>
              <w:rPr>
                <w:rFonts w:ascii="Arial" w:cs="Arial" w:eastAsia="Arial" w:hAnsi="Arial"/>
                <w:sz w:val="14"/>
                <w:szCs w:val="14"/>
                <w:color w:val="auto"/>
              </w:rPr>
              <w:t xml:space="preserve">Transition costs </w:t>
            </w:r>
            <w:r>
              <w:rPr>
                <w:rFonts w:ascii="Arial" w:cs="Arial" w:eastAsia="Arial" w:hAnsi="Arial"/>
                <w:sz w:val="18"/>
                <w:szCs w:val="18"/>
                <w:color w:val="auto"/>
                <w:vertAlign w:val="superscript"/>
              </w:rPr>
              <w:t>(2)</w:t>
            </w:r>
          </w:p>
        </w:tc>
        <w:tc>
          <w:tcPr>
            <w:tcW w:w="4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1,068</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19"/>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1,068</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0.06</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2,900</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2,900</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0.16</w:t>
            </w:r>
          </w:p>
        </w:tc>
        <w:tc>
          <w:tcPr>
            <w:tcW w:w="100" w:type="dxa"/>
            <w:vAlign w:val="bottom"/>
            <w:shd w:val="clear" w:color="auto" w:fill="CFF0FC"/>
          </w:tcPr>
          <w:p>
            <w:pPr>
              <w:spacing w:after="0"/>
              <w:rPr>
                <w:sz w:val="14"/>
                <w:szCs w:val="14"/>
                <w:color w:val="auto"/>
              </w:rPr>
            </w:pPr>
          </w:p>
        </w:tc>
      </w:tr>
      <w:tr>
        <w:trPr>
          <w:trHeight w:val="162"/>
        </w:trPr>
        <w:tc>
          <w:tcPr>
            <w:tcW w:w="3440" w:type="dxa"/>
            <w:vAlign w:val="bottom"/>
          </w:tcPr>
          <w:p>
            <w:pPr>
              <w:spacing w:after="0" w:line="162" w:lineRule="exact"/>
              <w:rPr>
                <w:sz w:val="20"/>
                <w:szCs w:val="20"/>
                <w:color w:val="auto"/>
              </w:rPr>
            </w:pPr>
            <w:r>
              <w:rPr>
                <w:rFonts w:ascii="Arial" w:cs="Arial" w:eastAsia="Arial" w:hAnsi="Arial"/>
                <w:sz w:val="14"/>
                <w:szCs w:val="14"/>
                <w:color w:val="auto"/>
              </w:rPr>
              <w:t xml:space="preserve">Gain on foreign currency transaction, net </w:t>
            </w:r>
            <w:r>
              <w:rPr>
                <w:rFonts w:ascii="Arial" w:cs="Arial" w:eastAsia="Arial" w:hAnsi="Arial"/>
                <w:sz w:val="18"/>
                <w:szCs w:val="18"/>
                <w:color w:val="auto"/>
                <w:vertAlign w:val="superscript"/>
              </w:rPr>
              <w:t>(3)</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Arial" w:cs="Arial" w:eastAsia="Arial" w:hAnsi="Arial"/>
                <w:sz w:val="14"/>
                <w:szCs w:val="14"/>
                <w:color w:val="auto"/>
              </w:rPr>
              <w:t>(1,775)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272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8"/>
              <w:spacing w:after="0"/>
              <w:rPr>
                <w:sz w:val="20"/>
                <w:szCs w:val="20"/>
                <w:color w:val="auto"/>
              </w:rPr>
            </w:pPr>
            <w:r>
              <w:rPr>
                <w:rFonts w:ascii="Arial" w:cs="Arial" w:eastAsia="Arial" w:hAnsi="Arial"/>
                <w:sz w:val="14"/>
                <w:szCs w:val="14"/>
                <w:color w:val="auto"/>
              </w:rPr>
              <w:t>(1,503)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(0.08)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3440" w:type="dxa"/>
            <w:vAlign w:val="bottom"/>
            <w:shd w:val="clear" w:color="auto" w:fill="CFF0FC"/>
          </w:tcPr>
          <w:p>
            <w:pPr>
              <w:spacing w:after="0" w:line="162" w:lineRule="exact"/>
              <w:rPr>
                <w:sz w:val="20"/>
                <w:szCs w:val="20"/>
                <w:color w:val="auto"/>
              </w:rPr>
            </w:pPr>
            <w:r>
              <w:rPr>
                <w:rFonts w:ascii="Arial" w:cs="Arial" w:eastAsia="Arial" w:hAnsi="Arial"/>
                <w:sz w:val="14"/>
                <w:szCs w:val="14"/>
                <w:color w:val="auto"/>
              </w:rPr>
              <w:t xml:space="preserve">Gain on sale of assets </w:t>
            </w:r>
            <w:r>
              <w:rPr>
                <w:rFonts w:ascii="Arial" w:cs="Arial" w:eastAsia="Arial" w:hAnsi="Arial"/>
                <w:sz w:val="18"/>
                <w:szCs w:val="18"/>
                <w:color w:val="auto"/>
                <w:vertAlign w:val="superscript"/>
              </w:rPr>
              <w:t>(4)</w:t>
            </w:r>
          </w:p>
        </w:tc>
        <w:tc>
          <w:tcPr>
            <w:tcW w:w="4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19"/>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(4,296)</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59"/>
              <w:spacing w:after="0"/>
              <w:rPr>
                <w:sz w:val="20"/>
                <w:szCs w:val="20"/>
                <w:color w:val="auto"/>
              </w:rPr>
            </w:pPr>
            <w:r>
              <w:rPr>
                <w:rFonts w:ascii="Arial" w:cs="Arial" w:eastAsia="Arial" w:hAnsi="Arial"/>
                <w:sz w:val="14"/>
                <w:szCs w:val="14"/>
                <w:color w:val="auto"/>
              </w:rPr>
              <w:t>(4,296)</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(0.23)</w:t>
            </w:r>
          </w:p>
        </w:tc>
      </w:tr>
      <w:tr>
        <w:trPr>
          <w:trHeight w:val="156"/>
        </w:trPr>
        <w:tc>
          <w:tcPr>
            <w:tcW w:w="3440" w:type="dxa"/>
            <w:vAlign w:val="bottom"/>
            <w:tcBorders>
              <w:top w:val="single" w:sz="8" w:color="CFF0FC"/>
              <w:bottom w:val="single" w:sz="8" w:color="CFF0FC"/>
            </w:tcBorders>
          </w:tcPr>
          <w:p>
            <w:pPr>
              <w:spacing w:after="0" w:line="155" w:lineRule="exact"/>
              <w:rPr>
                <w:sz w:val="20"/>
                <w:szCs w:val="20"/>
                <w:color w:val="auto"/>
              </w:rPr>
            </w:pPr>
            <w:r>
              <w:rPr>
                <w:rFonts w:ascii="Arial" w:cs="Arial" w:eastAsia="Arial" w:hAnsi="Arial"/>
                <w:sz w:val="14"/>
                <w:szCs w:val="14"/>
                <w:color w:val="auto"/>
              </w:rPr>
              <w:t>Adjusted results</w:t>
            </w:r>
          </w:p>
        </w:tc>
        <w:tc>
          <w:tcPr>
            <w:tcW w:w="420" w:type="dxa"/>
            <w:vAlign w:val="bottom"/>
            <w:tcBorders>
              <w:top w:val="single" w:sz="8" w:color="CFF0FC"/>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(21,307</w:t>
            </w:r>
          </w:p>
        </w:tc>
        <w:tc>
          <w:tcPr>
            <w:tcW w:w="140" w:type="dxa"/>
            <w:vAlign w:val="bottom"/>
            <w:tcBorders>
              <w:top w:val="single" w:sz="8" w:color="CFF0FC"/>
              <w:bottom w:val="single" w:sz="8" w:color="CFF0FC"/>
            </w:tcBorders>
          </w:tcPr>
          <w:p>
            <w:pPr>
              <w:jc w:val="right"/>
              <w:ind w:right="8"/>
              <w:spacing w:after="0" w:line="155" w:lineRule="exact"/>
              <w:rPr>
                <w:sz w:val="20"/>
                <w:szCs w:val="20"/>
                <w:color w:val="auto"/>
              </w:rPr>
            </w:pPr>
            <w:r>
              <w:rPr>
                <w:rFonts w:ascii="Arial" w:cs="Arial" w:eastAsia="Arial" w:hAnsi="Arial"/>
                <w:sz w:val="14"/>
                <w:szCs w:val="14"/>
                <w:color w:val="auto"/>
                <w:w w:val="84"/>
              </w:rPr>
              <w:t>)</w:t>
            </w:r>
          </w:p>
        </w:tc>
        <w:tc>
          <w:tcPr>
            <w:tcW w:w="100" w:type="dxa"/>
            <w:vAlign w:val="bottom"/>
            <w:tcBorders>
              <w:top w:val="single" w:sz="8" w:color="CFF0FC"/>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(1,723</w:t>
            </w:r>
          </w:p>
        </w:tc>
        <w:tc>
          <w:tcPr>
            <w:tcW w:w="140" w:type="dxa"/>
            <w:vAlign w:val="bottom"/>
            <w:tcBorders>
              <w:top w:val="single" w:sz="8" w:color="CFF0FC"/>
              <w:bottom w:val="single" w:sz="8" w:color="CFF0FC"/>
            </w:tcBorders>
          </w:tcPr>
          <w:p>
            <w:pPr>
              <w:jc w:val="right"/>
              <w:ind w:right="59"/>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CFF0FC"/>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(23,030</w:t>
            </w:r>
          </w:p>
        </w:tc>
        <w:tc>
          <w:tcPr>
            <w:tcW w:w="140" w:type="dxa"/>
            <w:vAlign w:val="bottom"/>
            <w:tcBorders>
              <w:top w:val="single" w:sz="8" w:color="CFF0FC"/>
              <w:bottom w:val="single" w:sz="8" w:color="CFF0FC"/>
            </w:tcBorders>
          </w:tcPr>
          <w:p>
            <w:pPr>
              <w:jc w:val="right"/>
              <w:ind w:right="8"/>
              <w:spacing w:after="0" w:line="155" w:lineRule="exact"/>
              <w:rPr>
                <w:sz w:val="20"/>
                <w:szCs w:val="20"/>
                <w:color w:val="auto"/>
              </w:rPr>
            </w:pPr>
            <w:r>
              <w:rPr>
                <w:rFonts w:ascii="Arial" w:cs="Arial" w:eastAsia="Arial" w:hAnsi="Arial"/>
                <w:sz w:val="14"/>
                <w:szCs w:val="14"/>
                <w:color w:val="auto"/>
                <w:w w:val="84"/>
              </w:rPr>
              <w:t>)</w:t>
            </w:r>
          </w:p>
        </w:tc>
        <w:tc>
          <w:tcPr>
            <w:tcW w:w="80" w:type="dxa"/>
            <w:vAlign w:val="bottom"/>
            <w:tcBorders>
              <w:top w:val="single" w:sz="8" w:color="CFF0FC"/>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(1.25)</w:t>
            </w:r>
          </w:p>
        </w:tc>
        <w:tc>
          <w:tcPr>
            <w:tcW w:w="140" w:type="dxa"/>
            <w:vAlign w:val="bottom"/>
            <w:tcBorders>
              <w:top w:val="single" w:sz="8" w:color="CFF0FC"/>
              <w:bottom w:val="single" w:sz="8" w:color="CFF0FC"/>
            </w:tcBorders>
          </w:tcPr>
          <w:p>
            <w:pPr>
              <w:spacing w:after="0"/>
              <w:rPr>
                <w:sz w:val="13"/>
                <w:szCs w:val="13"/>
                <w:color w:val="auto"/>
              </w:rPr>
            </w:pPr>
          </w:p>
        </w:tc>
        <w:tc>
          <w:tcPr>
            <w:tcW w:w="80" w:type="dxa"/>
            <w:vAlign w:val="bottom"/>
            <w:tcBorders>
              <w:top w:val="single" w:sz="8" w:color="CFF0FC"/>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(33,193</w:t>
            </w:r>
          </w:p>
        </w:tc>
        <w:tc>
          <w:tcPr>
            <w:tcW w:w="140" w:type="dxa"/>
            <w:vAlign w:val="bottom"/>
            <w:tcBorders>
              <w:top w:val="single" w:sz="8" w:color="CFF0FC"/>
              <w:bottom w:val="single" w:sz="8" w:color="CFF0FC"/>
            </w:tcBorders>
          </w:tcPr>
          <w:p>
            <w:pPr>
              <w:jc w:val="right"/>
              <w:ind w:right="8"/>
              <w:spacing w:after="0" w:line="155" w:lineRule="exact"/>
              <w:rPr>
                <w:sz w:val="20"/>
                <w:szCs w:val="20"/>
                <w:color w:val="auto"/>
              </w:rPr>
            </w:pPr>
            <w:r>
              <w:rPr>
                <w:rFonts w:ascii="Arial" w:cs="Arial" w:eastAsia="Arial" w:hAnsi="Arial"/>
                <w:sz w:val="14"/>
                <w:szCs w:val="14"/>
                <w:color w:val="auto"/>
                <w:w w:val="84"/>
              </w:rPr>
              <w:t>)</w:t>
            </w:r>
          </w:p>
        </w:tc>
        <w:tc>
          <w:tcPr>
            <w:tcW w:w="80" w:type="dxa"/>
            <w:vAlign w:val="bottom"/>
            <w:tcBorders>
              <w:top w:val="single" w:sz="8" w:color="CFF0FC"/>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(4,021</w:t>
            </w:r>
          </w:p>
        </w:tc>
        <w:tc>
          <w:tcPr>
            <w:tcW w:w="140" w:type="dxa"/>
            <w:vAlign w:val="bottom"/>
            <w:tcBorders>
              <w:top w:val="single" w:sz="8" w:color="CFF0FC"/>
              <w:bottom w:val="single" w:sz="8" w:color="CFF0FC"/>
            </w:tcBorders>
          </w:tcPr>
          <w:p>
            <w:pPr>
              <w:jc w:val="right"/>
              <w:ind w:right="8"/>
              <w:spacing w:after="0" w:line="155" w:lineRule="exact"/>
              <w:rPr>
                <w:sz w:val="20"/>
                <w:szCs w:val="20"/>
                <w:color w:val="auto"/>
              </w:rPr>
            </w:pPr>
            <w:r>
              <w:rPr>
                <w:rFonts w:ascii="Arial" w:cs="Arial" w:eastAsia="Arial" w:hAnsi="Arial"/>
                <w:sz w:val="14"/>
                <w:szCs w:val="14"/>
                <w:color w:val="auto"/>
                <w:w w:val="84"/>
              </w:rPr>
              <w:t>)</w:t>
            </w:r>
          </w:p>
        </w:tc>
        <w:tc>
          <w:tcPr>
            <w:tcW w:w="80" w:type="dxa"/>
            <w:vAlign w:val="bottom"/>
            <w:tcBorders>
              <w:top w:val="single" w:sz="8" w:color="CFF0FC"/>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(37,214</w:t>
            </w:r>
          </w:p>
        </w:tc>
        <w:tc>
          <w:tcPr>
            <w:tcW w:w="140" w:type="dxa"/>
            <w:vAlign w:val="bottom"/>
            <w:tcBorders>
              <w:top w:val="single" w:sz="8" w:color="CFF0FC"/>
              <w:bottom w:val="single" w:sz="8" w:color="CFF0FC"/>
            </w:tcBorders>
          </w:tcPr>
          <w:p>
            <w:pPr>
              <w:jc w:val="right"/>
              <w:ind w:right="59"/>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FF0FC"/>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(2.03)</w:t>
            </w:r>
          </w:p>
        </w:tc>
        <w:tc>
          <w:tcPr>
            <w:tcW w:w="100" w:type="dxa"/>
            <w:vAlign w:val="bottom"/>
            <w:tcBorders>
              <w:top w:val="single" w:sz="8" w:color="CFF0FC"/>
              <w:bottom w:val="single" w:sz="8" w:color="CFF0FC"/>
            </w:tcBorders>
          </w:tcPr>
          <w:p>
            <w:pPr>
              <w:spacing w:after="0"/>
              <w:rPr>
                <w:sz w:val="13"/>
                <w:szCs w:val="13"/>
                <w:color w:val="auto"/>
              </w:rPr>
            </w:pPr>
          </w:p>
        </w:tc>
      </w:tr>
      <w:tr>
        <w:trPr>
          <w:trHeight w:val="20"/>
        </w:trPr>
        <w:tc>
          <w:tcPr>
            <w:tcW w:w="3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34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90"/>
        </w:trPr>
        <w:tc>
          <w:tcPr>
            <w:tcW w:w="3440" w:type="dxa"/>
            <w:vAlign w:val="bottom"/>
          </w:tcPr>
          <w:p>
            <w:pPr>
              <w:spacing w:after="0"/>
              <w:rPr>
                <w:sz w:val="20"/>
                <w:szCs w:val="20"/>
                <w:color w:val="auto"/>
              </w:rPr>
            </w:pPr>
            <w:r>
              <w:rPr>
                <w:rFonts w:ascii="Arial" w:cs="Arial" w:eastAsia="Arial" w:hAnsi="Arial"/>
                <w:sz w:val="14"/>
                <w:szCs w:val="14"/>
                <w:color w:val="auto"/>
              </w:rPr>
              <w:t>Weighted average common shares outstanding</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18,455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18,299</w:t>
            </w:r>
          </w:p>
        </w:tc>
        <w:tc>
          <w:tcPr>
            <w:tcW w:w="1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-360045</wp:posOffset>
            </wp:positionV>
            <wp:extent cx="7683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-360045</wp:posOffset>
            </wp:positionV>
            <wp:extent cx="7683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-360045</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-360045</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-360045</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-360045</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-360045</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-360045</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2" w:lineRule="exact"/>
        <w:rPr>
          <w:sz w:val="20"/>
          <w:szCs w:val="20"/>
          <w:color w:val="auto"/>
        </w:rPr>
      </w:pPr>
    </w:p>
    <w:p>
      <w:pPr>
        <w:jc w:val="both"/>
        <w:ind w:left="380" w:hanging="372"/>
        <w:spacing w:after="0" w:line="263" w:lineRule="auto"/>
        <w:tabs>
          <w:tab w:leader="none" w:pos="3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 the second quarter of fiscal 2026, UNIFI recorded employee separation costs of $1,093 in connection with the Fiscal 2026 Profit Improvement Plan and a $308 gain from disposals of assets from the consolidation of Americas yarn manufacturing operations. The associated tax impact was estimated to be $11 related to employee separation costs in the Asia Segment.</w:t>
      </w:r>
    </w:p>
    <w:p>
      <w:pPr>
        <w:spacing w:after="0" w:line="64" w:lineRule="exact"/>
        <w:rPr>
          <w:rFonts w:ascii="Arial" w:cs="Arial" w:eastAsia="Arial" w:hAnsi="Arial"/>
          <w:sz w:val="14"/>
          <w:szCs w:val="14"/>
          <w:color w:val="auto"/>
        </w:rPr>
      </w:pPr>
    </w:p>
    <w:p>
      <w:pPr>
        <w:ind w:left="380" w:hanging="372"/>
        <w:spacing w:after="0"/>
        <w:tabs>
          <w:tab w:leader="none" w:pos="3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 the first quarter of fiscal 2026, UNIFI incurred various transition costs totaling $1,068 in connection with the consolidation of its yarn manufacturing operations including</w:t>
      </w:r>
    </w:p>
    <w:p>
      <w:pPr>
        <w:spacing w:after="0" w:line="15" w:lineRule="exact"/>
        <w:rPr>
          <w:rFonts w:ascii="Arial" w:cs="Arial" w:eastAsia="Arial" w:hAnsi="Arial"/>
          <w:sz w:val="14"/>
          <w:szCs w:val="14"/>
          <w:color w:val="auto"/>
        </w:rPr>
      </w:pPr>
    </w:p>
    <w:p>
      <w:pPr>
        <w:jc w:val="both"/>
        <w:ind w:left="380" w:firstLine="2"/>
        <w:spacing w:after="0" w:line="244" w:lineRule="auto"/>
        <w:tabs>
          <w:tab w:leader="none" w:pos="559" w:val="left"/>
        </w:tabs>
        <w:numPr>
          <w:ilvl w:val="1"/>
          <w:numId w:val="15"/>
        </w:numPr>
        <w:rPr>
          <w:rFonts w:ascii="Arial" w:cs="Arial" w:eastAsia="Arial" w:hAnsi="Arial"/>
          <w:sz w:val="14"/>
          <w:szCs w:val="14"/>
          <w:color w:val="auto"/>
        </w:rPr>
      </w:pPr>
      <w:r>
        <w:rPr>
          <w:rFonts w:ascii="Arial" w:cs="Arial" w:eastAsia="Arial" w:hAnsi="Arial"/>
          <w:sz w:val="14"/>
          <w:szCs w:val="14"/>
          <w:color w:val="auto"/>
        </w:rPr>
        <w:t>facility closure and equipment relocation costs (including asset impairments and disposals) of $1,021, and (ii) employee separation costs of $47. The facility closure, equipment relocation, and employee separation costs were all recorded within Restructuring costs in the Condensed Consolidated Statements of Operations. The associated tax impact was estimated to be $0 due to a valuation allowance against net operating losses in the U.S. In the third quarter of fiscal 2025, UNIFI incurred various transition costs totaling $2,900 in connection with the consolidation of its yarn manufacturing operations including (i) facility closure and equipment relocation costs of $1,088, (ii) inventory write-downs of $1,000, (iii) excess manufacturing costs of $580, and (iv) employee separation or retention costs of $232. The facility closure, equipment relocation, employee separation and retention costs were all recorded within Restructuring costs and the inventory write-downs and excess manufacturing costs were recorded within Cost of sales in the Condensed Consolidated Statements of Operations. The associated tax impact was estimated to be $0 due to a valuation allowance against net operating losses in the U.S.</w:t>
      </w:r>
    </w:p>
    <w:p>
      <w:pPr>
        <w:spacing w:after="0" w:line="80" w:lineRule="exact"/>
        <w:rPr>
          <w:rFonts w:ascii="Arial" w:cs="Arial" w:eastAsia="Arial" w:hAnsi="Arial"/>
          <w:sz w:val="14"/>
          <w:szCs w:val="14"/>
          <w:color w:val="auto"/>
        </w:rPr>
      </w:pPr>
    </w:p>
    <w:p>
      <w:pPr>
        <w:jc w:val="both"/>
        <w:ind w:left="380" w:hanging="372"/>
        <w:spacing w:after="0" w:line="256" w:lineRule="auto"/>
        <w:tabs>
          <w:tab w:leader="none" w:pos="3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 the third quarter of fiscal 2026, UNIFI recorded a foreign currency gain of $1,775. In December 2025, Brazil declared dividends against the majority of its retained earnings in connection with certain tax law changes related to future dividends. Foreign currency transaction gains (losses) are recorded to reflect changes in the exchange rate of the Brazilian Real to the U.S. Dollar while the dividend payable is outstanding. The associated tax impact was estimated to be $272, based on the estimated annual tax rate for the period.</w:t>
      </w:r>
    </w:p>
    <w:p>
      <w:pPr>
        <w:spacing w:after="0" w:line="69" w:lineRule="exact"/>
        <w:rPr>
          <w:rFonts w:ascii="Arial" w:cs="Arial" w:eastAsia="Arial" w:hAnsi="Arial"/>
          <w:sz w:val="14"/>
          <w:szCs w:val="14"/>
          <w:color w:val="auto"/>
        </w:rPr>
      </w:pPr>
    </w:p>
    <w:p>
      <w:pPr>
        <w:ind w:left="380" w:hanging="372"/>
        <w:spacing w:after="0" w:line="285" w:lineRule="auto"/>
        <w:tabs>
          <w:tab w:leader="none" w:pos="3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 the second quarter of fiscal 2025, UNIFI recorded a gain of $4,296 related to the sale of a warehouse located in Yadkinville, North Carolina. The associated tax impact was estimated to be $0 due to a valuation allowance against net operating losses and capital losses in the U.S.</w:t>
      </w: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Sales</w:t>
      </w:r>
    </w:p>
    <w:p>
      <w:pPr>
        <w:spacing w:after="0" w:line="107"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Consolidated net sales for the current nine-month period decreased by $45,730, or 10.6%, and consolidated sales volumes decreased 7.5%, compared to the prior nine-month period. Net sales in the current nine-month period were lower primarily due to (i) lower sales volumes in the Asia Segment, (ii) lower sales volumes and lower-priced sales mix in the Americas Segment, and (iii) lower sales volumes and prices in the Brazil Segment. Overall sales remain depressed, particularly in the Americas and Asia Segments as a result of continued volatility from uncertainty over ongoing geopolitical events, global trade policies, and competition from lower-priced products.</w:t>
      </w:r>
    </w:p>
    <w:p>
      <w:pPr>
        <w:spacing w:after="0" w:line="177"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Consolidated weighted average sales prices decreased 3.1%. The decrease in sales prices was primarily attributable to sales mix and lower average selling prices in the Americas and Brazil Segments.</w:t>
      </w:r>
    </w:p>
    <w:p>
      <w:pPr>
        <w:spacing w:after="0" w:line="153" w:lineRule="exact"/>
        <w:rPr>
          <w:sz w:val="20"/>
          <w:szCs w:val="20"/>
          <w:color w:val="auto"/>
        </w:rPr>
      </w:pPr>
    </w:p>
    <w:p>
      <w:pPr>
        <w:jc w:val="both"/>
        <w:spacing w:after="0"/>
        <w:rPr>
          <w:sz w:val="20"/>
          <w:szCs w:val="20"/>
          <w:color w:val="auto"/>
        </w:rPr>
      </w:pPr>
      <w:r>
        <w:rPr>
          <w:rFonts w:ascii="Arial" w:cs="Arial" w:eastAsia="Arial" w:hAnsi="Arial"/>
          <w:sz w:val="14"/>
          <w:szCs w:val="14"/>
          <w:color w:val="auto"/>
        </w:rPr>
        <w:t>REPREVE</w:t>
      </w:r>
      <w:r>
        <w:rPr>
          <w:rFonts w:ascii="Arial" w:cs="Arial" w:eastAsia="Arial" w:hAnsi="Arial"/>
          <w:sz w:val="19"/>
          <w:szCs w:val="19"/>
          <w:color w:val="auto"/>
          <w:vertAlign w:val="superscript"/>
        </w:rPr>
        <w:t>®</w:t>
      </w:r>
      <w:r>
        <w:rPr>
          <w:rFonts w:ascii="Arial" w:cs="Arial" w:eastAsia="Arial" w:hAnsi="Arial"/>
          <w:sz w:val="14"/>
          <w:szCs w:val="14"/>
          <w:color w:val="auto"/>
        </w:rPr>
        <w:t xml:space="preserve"> Fiber products for the current nine-month period comprised 29%, or $111,784, of consolidated net sales, compared to 31%, or $132,713, for the prior nine-month period.</w:t>
      </w:r>
    </w:p>
    <w:p>
      <w:pPr>
        <w:spacing w:after="0" w:line="3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Gross Profit</w:t>
      </w:r>
    </w:p>
    <w:p>
      <w:pPr>
        <w:spacing w:after="0" w:line="107"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Gross profit for the current nine-month period increased to $16,115 from $9,547 in the prior nine-month period. Gross profit increased primarily due to (i) variable cost-saving initiatives and (ii) improved utilization in certain manufacturing areas. This increase was partially offset by (a) lower sales volumes, (b) lower overall conversion margins and (c) production volatility from an inability to forecast demand due to the uncertainty caused by geopolitical events and tariffs impacting the Americas Segment. Gross profit continues to be unfavorably impacted by demand volatility in the Americas Segment and import pricing pressures in the Brazil Segment.</w:t>
      </w:r>
    </w:p>
    <w:p>
      <w:pPr>
        <w:spacing w:after="0" w:line="110" w:lineRule="exact"/>
        <w:rPr>
          <w:sz w:val="20"/>
          <w:szCs w:val="20"/>
          <w:color w:val="auto"/>
        </w:rPr>
      </w:pPr>
    </w:p>
    <w:p>
      <w:pPr>
        <w:jc w:val="both"/>
        <w:ind w:left="760" w:hanging="378"/>
        <w:spacing w:after="0" w:line="262" w:lineRule="auto"/>
        <w:tabs>
          <w:tab w:leader="none" w:pos="760" w:val="left"/>
        </w:tabs>
        <w:numPr>
          <w:ilvl w:val="0"/>
          <w:numId w:val="16"/>
        </w:numPr>
        <w:rPr>
          <w:rFonts w:ascii="Times New Roman" w:cs="Times New Roman" w:eastAsia="Times New Roman" w:hAnsi="Times New Roman"/>
          <w:sz w:val="14"/>
          <w:szCs w:val="14"/>
          <w:color w:val="auto"/>
        </w:rPr>
      </w:pPr>
      <w:r>
        <w:rPr>
          <w:rFonts w:ascii="Arial" w:cs="Arial" w:eastAsia="Arial" w:hAnsi="Arial"/>
          <w:sz w:val="14"/>
          <w:szCs w:val="14"/>
          <w:color w:val="auto"/>
        </w:rPr>
        <w:t>Americas Segment gross profit increased primarily due to overall cost-saving initiatives, including reductions in manufacturing costs from the consolidation of Americas yarn manufacturing operations and the Fiscal 2026 Profit Improvement Plan, partially offset by demand and production volatility stemming from geopolitical events and tariff uncertainty.</w:t>
      </w:r>
    </w:p>
    <w:p>
      <w:pPr>
        <w:spacing w:after="0" w:line="93"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16"/>
        </w:numPr>
        <w:rPr>
          <w:rFonts w:ascii="Times New Roman" w:cs="Times New Roman" w:eastAsia="Times New Roman" w:hAnsi="Times New Roman"/>
          <w:sz w:val="14"/>
          <w:szCs w:val="14"/>
          <w:color w:val="auto"/>
        </w:rPr>
      </w:pPr>
      <w:r>
        <w:rPr>
          <w:rFonts w:ascii="Arial" w:cs="Arial" w:eastAsia="Arial" w:hAnsi="Arial"/>
          <w:sz w:val="14"/>
          <w:szCs w:val="14"/>
          <w:color w:val="auto"/>
        </w:rPr>
        <w:t>Brazil Segment gross profit decreased primarily due to (i) lower sales volumes and (ii) competitive import pricing pressures.</w:t>
      </w:r>
    </w:p>
    <w:p>
      <w:pPr>
        <w:spacing w:after="0" w:line="148"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16"/>
        </w:numPr>
        <w:rPr>
          <w:rFonts w:ascii="Times New Roman" w:cs="Times New Roman" w:eastAsia="Times New Roman" w:hAnsi="Times New Roman"/>
          <w:sz w:val="14"/>
          <w:szCs w:val="14"/>
          <w:color w:val="auto"/>
        </w:rPr>
      </w:pPr>
      <w:r>
        <w:rPr>
          <w:rFonts w:ascii="Arial" w:cs="Arial" w:eastAsia="Arial" w:hAnsi="Arial"/>
          <w:sz w:val="14"/>
          <w:szCs w:val="14"/>
          <w:color w:val="auto"/>
        </w:rPr>
        <w:t>Asia Segment gross profit decreased primarily due to lower sales volumes.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0"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b w:val="1"/>
          <w:bCs w:val="1"/>
          <w:i w:val="1"/>
          <w:iCs w:val="1"/>
          <w:color w:val="auto"/>
        </w:rPr>
        <w:t>SG&amp;A</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SG&amp;A decreased from the prior nine-month period to the current nine-month period, primarily due to the actions from the Fiscal 2026 Profit Improvement Plan.</w:t>
      </w: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Benefit for Bad Debts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The current nine-month period and prior nine-month period provision reflect no material activity.</w:t>
      </w: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Restructuring Costs, Net</w:t>
      </w:r>
    </w:p>
    <w:p>
      <w:pPr>
        <w:spacing w:after="0" w:line="215"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During October 2025, UNIFI implemented additional cost-saving initiatives that include reducing variable manufacturing costs across labor, spend, and support functions, while also eliminating a meaningful percentage of salaried positions in the U.S. During the three-months ended December 28, 2025, UNIFI incurred employee separation costs of $1,093 related to the Fiscal 2026 Profit Improvement Plan. Additionally, UNIFI recognized a gain of $308 during the current period from disposals of assets in conjunction with the consolidation of Americas yarn manufacturing operations.</w:t>
      </w:r>
    </w:p>
    <w:p>
      <w:pPr>
        <w:spacing w:after="0" w:line="69"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On February 3, 2025, UNIFI announced the closing of its Madison, North Carolina facility and the transition of those manufacturing operations to other UNIFI production facilities in North and Central America. As a result, UNIFI incurred transition costs of $1,068 in the current nine-month period which consisted of (i) equipment relocation and facility closure costs (including asset impairments and disposals) of $1,021 and (ii) employee separation costs of $47. For the prior nine-month period, UNIFI incurred restructuring costs of $1,320 which consisted of (i) equipment relocation and facility closure costs of $1,088 and (ii) employee separation or retention costs of $232.</w:t>
      </w: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Gain on Sale of Assets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In the second quarter of fiscal 2025, UNIFI recorded a gain of $4,296 related to the sale of a warehouse located in Yadkinville, North Carolina.</w:t>
      </w: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Operating (Income) Expense, Net</w:t>
      </w:r>
    </w:p>
    <w:p>
      <w:pPr>
        <w:spacing w:after="0" w:line="107"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Other operating (income) expense, net for the current nine-month period and the prior nine-month period include foreign currency transaction (gains) losses of $(1,330) and $218, respectively, with no other meaningful activity. In December 2025, Brazil declared dividends against the majority of its retained earnings in connection with certain tax law changes related to future dividends. Foreign currency transaction gains (losses) are recorded to reflect changes in the exchange rate of the Brazilian Real to the U.S. Dollar while the dividend payable is outstanding.</w:t>
      </w: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 Expense, Net</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Interest expense, net decreased in connection with lower average debt principal and lower average interest rates.</w:t>
      </w: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Equity in Loss of Unconsolidated Affiliate</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There was no material activity for the current nine-month period or the prior nine-month period.</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460" w:type="dxa"/>
            <w:vAlign w:val="bottom"/>
          </w:tcPr>
          <w:p>
            <w:pPr>
              <w:spacing w:after="0"/>
              <w:rPr>
                <w:sz w:val="20"/>
                <w:szCs w:val="20"/>
                <w:color w:val="auto"/>
              </w:rPr>
            </w:pPr>
            <w:r>
              <w:rPr>
                <w:rFonts w:ascii="Arial" w:cs="Arial" w:eastAsia="Arial" w:hAnsi="Arial"/>
                <w:sz w:val="14"/>
                <w:szCs w:val="14"/>
                <w:b w:val="1"/>
                <w:bCs w:val="1"/>
                <w:i w:val="1"/>
                <w:iCs w:val="1"/>
                <w:color w:val="auto"/>
              </w:rPr>
              <w:t>Income Taxes</w:t>
            </w: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64"/>
        </w:trPr>
        <w:tc>
          <w:tcPr>
            <w:tcW w:w="7460" w:type="dxa"/>
            <w:vAlign w:val="bottom"/>
          </w:tcPr>
          <w:p>
            <w:pPr>
              <w:spacing w:after="0"/>
              <w:rPr>
                <w:sz w:val="20"/>
                <w:szCs w:val="20"/>
                <w:color w:val="auto"/>
              </w:rPr>
            </w:pPr>
            <w:r>
              <w:rPr>
                <w:rFonts w:ascii="Arial" w:cs="Arial" w:eastAsia="Arial" w:hAnsi="Arial"/>
                <w:sz w:val="14"/>
                <w:szCs w:val="14"/>
                <w:color w:val="auto"/>
              </w:rPr>
              <w:t>Provision for income taxes and the effective tax rate were as follows:</w:t>
            </w: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51"/>
        </w:trPr>
        <w:tc>
          <w:tcPr>
            <w:tcW w:w="7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For the Nine Months Ended</w:t>
            </w:r>
          </w:p>
        </w:tc>
      </w:tr>
      <w:tr>
        <w:trPr>
          <w:trHeight w:val="155"/>
        </w:trPr>
        <w:tc>
          <w:tcPr>
            <w:tcW w:w="746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420" w:type="dxa"/>
            <w:vAlign w:val="bottom"/>
            <w:tcBorders>
              <w:top w:val="single" w:sz="8" w:color="auto"/>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March 29, 2026</w:t>
            </w:r>
          </w:p>
        </w:tc>
        <w:tc>
          <w:tcPr>
            <w:tcW w:w="38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440" w:type="dxa"/>
            <w:vAlign w:val="bottom"/>
            <w:tcBorders>
              <w:top w:val="single" w:sz="8" w:color="auto"/>
              <w:bottom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March 30, 2025</w:t>
            </w:r>
          </w:p>
        </w:tc>
        <w:tc>
          <w:tcPr>
            <w:tcW w:w="180" w:type="dxa"/>
            <w:vAlign w:val="bottom"/>
          </w:tcPr>
          <w:p>
            <w:pPr>
              <w:spacing w:after="0"/>
              <w:rPr>
                <w:sz w:val="13"/>
                <w:szCs w:val="13"/>
                <w:color w:val="auto"/>
              </w:rPr>
            </w:pPr>
          </w:p>
        </w:tc>
      </w:tr>
      <w:tr>
        <w:trPr>
          <w:trHeight w:val="156"/>
        </w:trPr>
        <w:tc>
          <w:tcPr>
            <w:tcW w:w="746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Provision for income taxes</w:t>
            </w:r>
          </w:p>
        </w:tc>
        <w:tc>
          <w:tcPr>
            <w:tcW w:w="180" w:type="dxa"/>
            <w:vAlign w:val="bottom"/>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800" w:type="dxa"/>
            <w:vAlign w:val="bottom"/>
            <w:gridSpan w:val="2"/>
            <w:shd w:val="clear" w:color="auto" w:fill="CFF0FC"/>
          </w:tcPr>
          <w:p>
            <w:pPr>
              <w:jc w:val="right"/>
              <w:ind w:right="380"/>
              <w:spacing w:after="0" w:line="155" w:lineRule="exact"/>
              <w:rPr>
                <w:sz w:val="20"/>
                <w:szCs w:val="20"/>
                <w:color w:val="auto"/>
              </w:rPr>
            </w:pPr>
            <w:r>
              <w:rPr>
                <w:rFonts w:ascii="Arial" w:cs="Arial" w:eastAsia="Arial" w:hAnsi="Arial"/>
                <w:sz w:val="14"/>
                <w:szCs w:val="14"/>
                <w:color w:val="auto"/>
              </w:rPr>
              <w:t>1,984</w:t>
            </w:r>
          </w:p>
        </w:tc>
        <w:tc>
          <w:tcPr>
            <w:tcW w:w="180" w:type="dxa"/>
            <w:vAlign w:val="bottom"/>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62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color w:val="auto"/>
              </w:rPr>
              <w:t>4,021</w:t>
            </w:r>
          </w:p>
        </w:tc>
      </w:tr>
      <w:tr>
        <w:trPr>
          <w:trHeight w:val="190"/>
        </w:trPr>
        <w:tc>
          <w:tcPr>
            <w:tcW w:w="7460" w:type="dxa"/>
            <w:vAlign w:val="bottom"/>
          </w:tcPr>
          <w:p>
            <w:pPr>
              <w:spacing w:after="0"/>
              <w:rPr>
                <w:sz w:val="20"/>
                <w:szCs w:val="20"/>
                <w:color w:val="auto"/>
              </w:rPr>
            </w:pPr>
            <w:r>
              <w:rPr>
                <w:rFonts w:ascii="Arial" w:cs="Arial" w:eastAsia="Arial" w:hAnsi="Arial"/>
                <w:sz w:val="14"/>
                <w:szCs w:val="14"/>
                <w:color w:val="auto"/>
              </w:rPr>
              <w:t>Effective tax rate</w:t>
            </w:r>
          </w:p>
        </w:tc>
        <w:tc>
          <w:tcPr>
            <w:tcW w:w="180" w:type="dxa"/>
            <w:vAlign w:val="bottom"/>
          </w:tcPr>
          <w:p>
            <w:pPr>
              <w:spacing w:after="0"/>
              <w:rPr>
                <w:sz w:val="16"/>
                <w:szCs w:val="16"/>
                <w:color w:val="auto"/>
              </w:rPr>
            </w:pPr>
          </w:p>
        </w:tc>
        <w:tc>
          <w:tcPr>
            <w:tcW w:w="1800" w:type="dxa"/>
            <w:vAlign w:val="bottom"/>
            <w:gridSpan w:val="2"/>
          </w:tcPr>
          <w:p>
            <w:pPr>
              <w:jc w:val="right"/>
              <w:ind w:right="200"/>
              <w:spacing w:after="0"/>
              <w:rPr>
                <w:sz w:val="20"/>
                <w:szCs w:val="20"/>
                <w:color w:val="auto"/>
              </w:rPr>
            </w:pPr>
            <w:r>
              <w:rPr>
                <w:rFonts w:ascii="Arial" w:cs="Arial" w:eastAsia="Arial" w:hAnsi="Arial"/>
                <w:sz w:val="14"/>
                <w:szCs w:val="14"/>
                <w:color w:val="auto"/>
              </w:rPr>
              <w:t>(9.3)%</w:t>
            </w:r>
          </w:p>
        </w:tc>
        <w:tc>
          <w:tcPr>
            <w:tcW w:w="180" w:type="dxa"/>
            <w:vAlign w:val="bottom"/>
          </w:tcPr>
          <w:p>
            <w:pPr>
              <w:spacing w:after="0"/>
              <w:rPr>
                <w:sz w:val="16"/>
                <w:szCs w:val="16"/>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4"/>
                <w:szCs w:val="14"/>
                <w:color w:val="auto"/>
              </w:rPr>
              <w:t>(12.6)%</w:t>
            </w:r>
          </w:p>
        </w:tc>
      </w:tr>
    </w:tbl>
    <w:p>
      <w:pPr>
        <w:spacing w:after="0" w:line="125"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The increase in the effective tax rate from the prior nine-month period to the current nine-month period is primarily attributable to lower foreign earnings in the current nine-month period.</w:t>
      </w:r>
    </w:p>
    <w:p>
      <w:pPr>
        <w:spacing w:after="0" w:line="104"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The effective tax rate is subject to variation due to a number of factors, including variability in pre-tax book income; the mix of income by jurisdiction; changes in deferred tax valuation allowances; and changes in statutes, audit settlement, regulations, and case law. Additionally, the impacts of discrete and other rate impacting items are more pronounced when loss before income taxes is lower.</w:t>
      </w:r>
    </w:p>
    <w:p>
      <w:pPr>
        <w:spacing w:after="0" w:line="2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Loss</w:t>
      </w:r>
    </w:p>
    <w:p>
      <w:pPr>
        <w:spacing w:after="0" w:line="107"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The decrease in net loss was primarily attributable to (i) increased gross profit and (ii) lower SG&amp;A expenses, (iii) lower interest expense, net, and (iv) lower income tax expense, partially offset by a gain on sale of assets in the prior nine-month period.</w:t>
      </w:r>
    </w:p>
    <w:p>
      <w:pPr>
        <w:spacing w:after="0" w:line="3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Adjusted EBITDA and Adjusted EPS (Non-GAAP Financial Measures)</w:t>
      </w:r>
    </w:p>
    <w:p>
      <w:pPr>
        <w:spacing w:after="0" w:line="109"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Adjusted EBITDA increased primarily due to (i) higher gross profit and (ii) lower SG&amp;A expenses. Adjusted EPS improved primarily due to (i) higher gross profit, (ii) lower SG&amp;A, (iii) lower interest expense and (iv) income tax expense.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0"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b w:val="1"/>
          <w:bCs w:val="1"/>
          <w:color w:val="auto"/>
        </w:rPr>
        <w:t>Segment Overview</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Following is a discussion and analysis of the revenue and profitability performance of UNIFI’s reportable segments for the current nine-month period.</w:t>
      </w: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Americas Segment</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The components of Segment Profit, each component as a percentage of net sales, and the percentage increase or decrease over the prior nine-month period amounts for the</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Americas Segment,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5"/>
          </w:tcPr>
          <w:p>
            <w:pPr>
              <w:jc w:val="right"/>
              <w:ind w:right="640"/>
              <w:spacing w:after="0"/>
              <w:rPr>
                <w:sz w:val="20"/>
                <w:szCs w:val="20"/>
                <w:color w:val="auto"/>
              </w:rPr>
            </w:pPr>
            <w:r>
              <w:rPr>
                <w:rFonts w:ascii="Arial" w:cs="Arial" w:eastAsia="Arial" w:hAnsi="Arial"/>
                <w:sz w:val="14"/>
                <w:szCs w:val="14"/>
                <w:b w:val="1"/>
                <w:bCs w:val="1"/>
                <w:color w:val="auto"/>
              </w:rPr>
              <w:t>For the Nine Months Ended</w:t>
            </w:r>
          </w:p>
        </w:tc>
        <w:tc>
          <w:tcPr>
            <w:tcW w:w="12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320" w:type="dxa"/>
            <w:vAlign w:val="bottom"/>
            <w:tcBorders>
              <w:bottom w:val="single" w:sz="8" w:color="auto"/>
            </w:tcBorders>
            <w:gridSpan w:val="3"/>
          </w:tcPr>
          <w:p>
            <w:pPr>
              <w:jc w:val="right"/>
              <w:ind w:right="768"/>
              <w:spacing w:after="0" w:line="155" w:lineRule="exact"/>
              <w:rPr>
                <w:sz w:val="20"/>
                <w:szCs w:val="20"/>
                <w:color w:val="auto"/>
              </w:rPr>
            </w:pPr>
            <w:r>
              <w:rPr>
                <w:rFonts w:ascii="Arial" w:cs="Arial" w:eastAsia="Arial" w:hAnsi="Arial"/>
                <w:sz w:val="14"/>
                <w:szCs w:val="14"/>
                <w:b w:val="1"/>
                <w:bCs w:val="1"/>
                <w:color w:val="auto"/>
              </w:rPr>
              <w:t>March 29, 2026</w:t>
            </w:r>
          </w:p>
        </w:tc>
        <w:tc>
          <w:tcPr>
            <w:tcW w:w="2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3"/>
          </w:tcPr>
          <w:p>
            <w:pPr>
              <w:jc w:val="right"/>
              <w:ind w:right="728"/>
              <w:spacing w:after="0" w:line="155" w:lineRule="exact"/>
              <w:rPr>
                <w:sz w:val="20"/>
                <w:szCs w:val="20"/>
                <w:color w:val="auto"/>
              </w:rPr>
            </w:pPr>
            <w:r>
              <w:rPr>
                <w:rFonts w:ascii="Arial" w:cs="Arial" w:eastAsia="Arial" w:hAnsi="Arial"/>
                <w:sz w:val="14"/>
                <w:szCs w:val="14"/>
                <w:b w:val="1"/>
                <w:bCs w:val="1"/>
                <w:color w:val="auto"/>
              </w:rPr>
              <w:t>March 30, 2025</w:t>
            </w:r>
          </w:p>
        </w:tc>
        <w:tc>
          <w:tcPr>
            <w:tcW w:w="220" w:type="dxa"/>
            <w:vAlign w:val="bottom"/>
          </w:tcPr>
          <w:p>
            <w:pPr>
              <w:spacing w:after="0"/>
              <w:rPr>
                <w:sz w:val="13"/>
                <w:szCs w:val="13"/>
                <w:color w:val="auto"/>
              </w:rPr>
            </w:pPr>
          </w:p>
        </w:tc>
        <w:tc>
          <w:tcPr>
            <w:tcW w:w="1260" w:type="dxa"/>
            <w:vAlign w:val="bottom"/>
            <w:vMerge w:val="restart"/>
          </w:tcPr>
          <w:p>
            <w:pPr>
              <w:jc w:val="right"/>
              <w:ind w:right="50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jc w:val="right"/>
              <w:ind w:right="408"/>
              <w:spacing w:after="0" w:line="147" w:lineRule="exact"/>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jc w:val="right"/>
              <w:ind w:right="388"/>
              <w:spacing w:after="0" w:line="147"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Net Sales</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Net Sales</w:t>
            </w:r>
          </w:p>
        </w:tc>
        <w:tc>
          <w:tcPr>
            <w:tcW w:w="220" w:type="dxa"/>
            <w:vAlign w:val="bottom"/>
          </w:tcPr>
          <w:p>
            <w:pPr>
              <w:spacing w:after="0"/>
              <w:rPr>
                <w:sz w:val="14"/>
                <w:szCs w:val="14"/>
                <w:color w:val="auto"/>
              </w:rPr>
            </w:pPr>
          </w:p>
        </w:tc>
        <w:tc>
          <w:tcPr>
            <w:tcW w:w="12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Net sales</w:t>
            </w:r>
          </w:p>
        </w:tc>
        <w:tc>
          <w:tcPr>
            <w:tcW w:w="340" w:type="dxa"/>
            <w:vAlign w:val="bottom"/>
            <w:shd w:val="clear" w:color="auto" w:fill="CFF0FC"/>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240,772</w:t>
            </w:r>
          </w:p>
        </w:tc>
        <w:tc>
          <w:tcPr>
            <w:tcW w:w="24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100.0</w:t>
            </w:r>
          </w:p>
        </w:tc>
        <w:tc>
          <w:tcPr>
            <w:tcW w:w="580" w:type="dxa"/>
            <w:vAlign w:val="bottom"/>
            <w:gridSpan w:val="2"/>
            <w:shd w:val="clear" w:color="auto" w:fill="CFF0FC"/>
          </w:tcPr>
          <w:p>
            <w:pPr>
              <w:jc w:val="right"/>
              <w:ind w:right="188"/>
              <w:spacing w:after="0" w:line="155" w:lineRule="exact"/>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262,922</w:t>
            </w:r>
          </w:p>
        </w:tc>
        <w:tc>
          <w:tcPr>
            <w:tcW w:w="26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100.0</w:t>
            </w:r>
          </w:p>
        </w:tc>
        <w:tc>
          <w:tcPr>
            <w:tcW w:w="22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62"/>
        </w:trPr>
        <w:tc>
          <w:tcPr>
            <w:tcW w:w="4120" w:type="dxa"/>
            <w:vAlign w:val="bottom"/>
          </w:tcPr>
          <w:p>
            <w:pPr>
              <w:spacing w:after="0"/>
              <w:rPr>
                <w:sz w:val="20"/>
                <w:szCs w:val="20"/>
                <w:color w:val="auto"/>
              </w:rPr>
            </w:pPr>
            <w:r>
              <w:rPr>
                <w:rFonts w:ascii="Arial" w:cs="Arial" w:eastAsia="Arial" w:hAnsi="Arial"/>
                <w:sz w:val="14"/>
                <w:szCs w:val="14"/>
                <w:color w:val="auto"/>
              </w:rPr>
              <w:t>Cost of sales</w:t>
            </w: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239,260</w:t>
            </w:r>
          </w:p>
        </w:tc>
        <w:tc>
          <w:tcPr>
            <w:tcW w:w="240" w:type="dxa"/>
            <w:vAlign w:val="bottom"/>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99.4</w:t>
            </w: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277,797</w:t>
            </w:r>
          </w:p>
        </w:tc>
        <w:tc>
          <w:tcPr>
            <w:tcW w:w="260" w:type="dxa"/>
            <w:vAlign w:val="bottom"/>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105.7</w:t>
            </w:r>
          </w:p>
        </w:tc>
        <w:tc>
          <w:tcPr>
            <w:tcW w:w="220" w:type="dxa"/>
            <w:vAlign w:val="bottom"/>
          </w:tcPr>
          <w:p>
            <w:pPr>
              <w:spacing w:after="0"/>
              <w:rPr>
                <w:sz w:val="14"/>
                <w:szCs w:val="14"/>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155"/>
        </w:trPr>
        <w:tc>
          <w:tcPr>
            <w:tcW w:w="41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Gross profit (loss)</w:t>
            </w:r>
          </w:p>
        </w:tc>
        <w:tc>
          <w:tcPr>
            <w:tcW w:w="34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1,512</w:t>
            </w:r>
          </w:p>
        </w:tc>
        <w:tc>
          <w:tcPr>
            <w:tcW w:w="24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0.6</w:t>
            </w:r>
          </w:p>
        </w:tc>
        <w:tc>
          <w:tcPr>
            <w:tcW w:w="2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220"/>
              <w:spacing w:after="0" w:line="155" w:lineRule="exact"/>
              <w:rPr>
                <w:sz w:val="20"/>
                <w:szCs w:val="20"/>
                <w:color w:val="auto"/>
              </w:rPr>
            </w:pPr>
            <w:r>
              <w:rPr>
                <w:rFonts w:ascii="Arial" w:cs="Arial" w:eastAsia="Arial" w:hAnsi="Arial"/>
                <w:sz w:val="14"/>
                <w:szCs w:val="14"/>
                <w:color w:val="auto"/>
              </w:rPr>
              <w:t>(14,875)</w:t>
            </w:r>
          </w:p>
        </w:tc>
        <w:tc>
          <w:tcPr>
            <w:tcW w:w="1420" w:type="dxa"/>
            <w:vAlign w:val="bottom"/>
            <w:gridSpan w:val="2"/>
            <w:shd w:val="clear" w:color="auto" w:fill="CFF0FC"/>
          </w:tcPr>
          <w:p>
            <w:pPr>
              <w:jc w:val="right"/>
              <w:ind w:right="160"/>
              <w:spacing w:after="0" w:line="155" w:lineRule="exact"/>
              <w:rPr>
                <w:sz w:val="20"/>
                <w:szCs w:val="20"/>
                <w:color w:val="auto"/>
              </w:rPr>
            </w:pPr>
            <w:r>
              <w:rPr>
                <w:rFonts w:ascii="Arial" w:cs="Arial" w:eastAsia="Arial" w:hAnsi="Arial"/>
                <w:sz w:val="14"/>
                <w:szCs w:val="14"/>
                <w:color w:val="auto"/>
              </w:rPr>
              <w:t>(5.7)</w:t>
            </w:r>
          </w:p>
        </w:tc>
        <w:tc>
          <w:tcPr>
            <w:tcW w:w="138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(110.2)</w:t>
            </w:r>
          </w:p>
        </w:tc>
        <w:tc>
          <w:tcPr>
            <w:tcW w:w="0" w:type="dxa"/>
            <w:vAlign w:val="bottom"/>
          </w:tcPr>
          <w:p>
            <w:pPr>
              <w:spacing w:after="0"/>
              <w:rPr>
                <w:sz w:val="1"/>
                <w:szCs w:val="1"/>
                <w:color w:val="auto"/>
              </w:rPr>
            </w:pPr>
          </w:p>
        </w:tc>
      </w:tr>
      <w:tr>
        <w:trPr>
          <w:trHeight w:val="162"/>
        </w:trPr>
        <w:tc>
          <w:tcPr>
            <w:tcW w:w="4120" w:type="dxa"/>
            <w:vAlign w:val="bottom"/>
          </w:tcPr>
          <w:p>
            <w:pPr>
              <w:spacing w:after="0"/>
              <w:rPr>
                <w:sz w:val="20"/>
                <w:szCs w:val="20"/>
                <w:color w:val="auto"/>
              </w:rPr>
            </w:pPr>
            <w:r>
              <w:rPr>
                <w:rFonts w:ascii="Arial" w:cs="Arial" w:eastAsia="Arial" w:hAnsi="Arial"/>
                <w:sz w:val="14"/>
                <w:szCs w:val="14"/>
                <w:color w:val="auto"/>
              </w:rPr>
              <w:t>Depreciation expense</w:t>
            </w: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14,764</w:t>
            </w:r>
          </w:p>
        </w:tc>
        <w:tc>
          <w:tcPr>
            <w:tcW w:w="240" w:type="dxa"/>
            <w:vAlign w:val="bottom"/>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15,995</w:t>
            </w:r>
          </w:p>
        </w:tc>
        <w:tc>
          <w:tcPr>
            <w:tcW w:w="260" w:type="dxa"/>
            <w:vAlign w:val="bottom"/>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w:t>
            </w:r>
          </w:p>
        </w:tc>
        <w:tc>
          <w:tcPr>
            <w:tcW w:w="220" w:type="dxa"/>
            <w:vAlign w:val="bottom"/>
          </w:tcPr>
          <w:p>
            <w:pPr>
              <w:spacing w:after="0"/>
              <w:rPr>
                <w:sz w:val="14"/>
                <w:szCs w:val="14"/>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95"/>
        </w:trPr>
        <w:tc>
          <w:tcPr>
            <w:tcW w:w="412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Segment Profit</w:t>
            </w:r>
          </w:p>
        </w:tc>
        <w:tc>
          <w:tcPr>
            <w:tcW w:w="340" w:type="dxa"/>
            <w:vAlign w:val="bottom"/>
            <w:tcBorders>
              <w:bottom w:val="single" w:sz="8" w:color="auto"/>
            </w:tcBorders>
            <w:shd w:val="clear" w:color="auto" w:fill="CFF0FC"/>
          </w:tcPr>
          <w:p>
            <w:pPr>
              <w:jc w:val="right"/>
              <w:ind w:right="188"/>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16,276</w:t>
            </w:r>
          </w:p>
        </w:tc>
        <w:tc>
          <w:tcPr>
            <w:tcW w:w="24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6.8</w:t>
            </w:r>
          </w:p>
        </w:tc>
        <w:tc>
          <w:tcPr>
            <w:tcW w:w="2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jc w:val="right"/>
              <w:ind w:right="188"/>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1,120</w:t>
            </w:r>
          </w:p>
        </w:tc>
        <w:tc>
          <w:tcPr>
            <w:tcW w:w="26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0.4</w:t>
            </w:r>
          </w:p>
        </w:tc>
        <w:tc>
          <w:tcPr>
            <w:tcW w:w="220" w:type="dxa"/>
            <w:vAlign w:val="bottom"/>
            <w:tcBorders>
              <w:bottom w:val="single" w:sz="8" w:color="CFF0FC"/>
            </w:tcBorders>
            <w:shd w:val="clear" w:color="auto" w:fill="CFF0FC"/>
          </w:tcPr>
          <w:p>
            <w:pPr>
              <w:spacing w:after="0"/>
              <w:rPr>
                <w:sz w:val="17"/>
                <w:szCs w:val="17"/>
                <w:color w:val="auto"/>
              </w:rPr>
            </w:pPr>
          </w:p>
        </w:tc>
        <w:tc>
          <w:tcPr>
            <w:tcW w:w="1380" w:type="dxa"/>
            <w:vAlign w:val="bottom"/>
            <w:tcBorders>
              <w:bottom w:val="single" w:sz="8" w:color="CFF0FC"/>
            </w:tcBorders>
            <w:gridSpan w:val="2"/>
            <w:shd w:val="clear" w:color="auto" w:fill="CFF0FC"/>
          </w:tcPr>
          <w:p>
            <w:pPr>
              <w:jc w:val="right"/>
              <w:ind w:right="140"/>
              <w:spacing w:after="0" w:line="155" w:lineRule="exact"/>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-25400</wp:posOffset>
            </wp:positionV>
            <wp:extent cx="9461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-7620</wp:posOffset>
            </wp:positionV>
            <wp:extent cx="9461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-25400</wp:posOffset>
            </wp:positionV>
            <wp:extent cx="6858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-7620</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-25400</wp:posOffset>
            </wp:positionV>
            <wp:extent cx="9398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-7620</wp:posOffset>
            </wp:positionV>
            <wp:extent cx="939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-25400</wp:posOffset>
            </wp:positionV>
            <wp:extent cx="6858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318" w:right="339" w:bottom="1440" w:gutter="0" w:footer="0" w:header="0"/>
        </w:sectPr>
      </w:pP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Segment net sales as a percentage of</w:t>
            </w:r>
          </w:p>
        </w:tc>
        <w:tc>
          <w:tcPr>
            <w:tcW w:w="294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62"/>
        </w:trPr>
        <w:tc>
          <w:tcPr>
            <w:tcW w:w="3700" w:type="dxa"/>
            <w:vAlign w:val="bottom"/>
          </w:tcPr>
          <w:p>
            <w:pPr>
              <w:ind w:left="80"/>
              <w:spacing w:after="0"/>
              <w:rPr>
                <w:sz w:val="20"/>
                <w:szCs w:val="20"/>
                <w:color w:val="auto"/>
              </w:rPr>
            </w:pPr>
            <w:r>
              <w:rPr>
                <w:rFonts w:ascii="Arial" w:cs="Arial" w:eastAsia="Arial" w:hAnsi="Arial"/>
                <w:sz w:val="14"/>
                <w:szCs w:val="14"/>
                <w:color w:val="auto"/>
              </w:rPr>
              <w:t>consolidated amounts</w:t>
            </w:r>
          </w:p>
        </w:tc>
        <w:tc>
          <w:tcPr>
            <w:tcW w:w="2940" w:type="dxa"/>
            <w:vAlign w:val="bottom"/>
          </w:tcPr>
          <w:p>
            <w:pPr>
              <w:jc w:val="right"/>
              <w:ind w:right="1168"/>
              <w:spacing w:after="0"/>
              <w:rPr>
                <w:sz w:val="20"/>
                <w:szCs w:val="20"/>
                <w:color w:val="auto"/>
              </w:rPr>
            </w:pPr>
            <w:r>
              <w:rPr>
                <w:rFonts w:ascii="Arial" w:cs="Arial" w:eastAsia="Arial" w:hAnsi="Arial"/>
                <w:sz w:val="14"/>
                <w:szCs w:val="14"/>
                <w:color w:val="auto"/>
              </w:rPr>
              <w:t>62.2%</w:t>
            </w:r>
          </w:p>
        </w:tc>
        <w:tc>
          <w:tcPr>
            <w:tcW w:w="1660" w:type="dxa"/>
            <w:vAlign w:val="bottom"/>
          </w:tcPr>
          <w:p>
            <w:pPr>
              <w:jc w:val="right"/>
              <w:spacing w:after="0"/>
              <w:rPr>
                <w:sz w:val="20"/>
                <w:szCs w:val="20"/>
                <w:color w:val="auto"/>
              </w:rPr>
            </w:pPr>
            <w:r>
              <w:rPr>
                <w:rFonts w:ascii="Arial" w:cs="Arial" w:eastAsia="Arial" w:hAnsi="Arial"/>
                <w:sz w:val="14"/>
                <w:szCs w:val="14"/>
                <w:color w:val="auto"/>
              </w:rPr>
              <w:t>60.7%</w:t>
            </w: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Segment Profit as a percentage of</w:t>
            </w:r>
          </w:p>
        </w:tc>
        <w:tc>
          <w:tcPr>
            <w:tcW w:w="294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90"/>
        </w:trPr>
        <w:tc>
          <w:tcPr>
            <w:tcW w:w="3700" w:type="dxa"/>
            <w:vAlign w:val="bottom"/>
          </w:tcPr>
          <w:p>
            <w:pPr>
              <w:ind w:left="80"/>
              <w:spacing w:after="0"/>
              <w:rPr>
                <w:sz w:val="20"/>
                <w:szCs w:val="20"/>
                <w:color w:val="auto"/>
              </w:rPr>
            </w:pPr>
            <w:r>
              <w:rPr>
                <w:rFonts w:ascii="Arial" w:cs="Arial" w:eastAsia="Arial" w:hAnsi="Arial"/>
                <w:sz w:val="14"/>
                <w:szCs w:val="14"/>
                <w:color w:val="auto"/>
              </w:rPr>
              <w:t>consolidated amounts</w:t>
            </w:r>
          </w:p>
        </w:tc>
        <w:tc>
          <w:tcPr>
            <w:tcW w:w="2940" w:type="dxa"/>
            <w:vAlign w:val="bottom"/>
          </w:tcPr>
          <w:p>
            <w:pPr>
              <w:jc w:val="right"/>
              <w:ind w:right="1168"/>
              <w:spacing w:after="0"/>
              <w:rPr>
                <w:sz w:val="20"/>
                <w:szCs w:val="20"/>
                <w:color w:val="auto"/>
              </w:rPr>
            </w:pPr>
            <w:r>
              <w:rPr>
                <w:rFonts w:ascii="Arial" w:cs="Arial" w:eastAsia="Arial" w:hAnsi="Arial"/>
                <w:sz w:val="14"/>
                <w:szCs w:val="14"/>
                <w:color w:val="auto"/>
              </w:rPr>
              <w:t>48.8%</w:t>
            </w:r>
          </w:p>
        </w:tc>
        <w:tc>
          <w:tcPr>
            <w:tcW w:w="1660" w:type="dxa"/>
            <w:vAlign w:val="bottom"/>
          </w:tcPr>
          <w:p>
            <w:pPr>
              <w:jc w:val="right"/>
              <w:spacing w:after="0"/>
              <w:rPr>
                <w:sz w:val="20"/>
                <w:szCs w:val="20"/>
                <w:color w:val="auto"/>
              </w:rPr>
            </w:pPr>
            <w:r>
              <w:rPr>
                <w:rFonts w:ascii="Arial" w:cs="Arial" w:eastAsia="Arial" w:hAnsi="Arial"/>
                <w:sz w:val="14"/>
                <w:szCs w:val="14"/>
                <w:color w:val="auto"/>
              </w:rPr>
              <w:t>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20574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The change in net sales for the Americas Segment was as follows: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Net sales for the prior nine-month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0287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Change in average selling price and sales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1112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Decrease in sales volumes</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Net sales for the current nine-month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760" w:type="dxa"/>
            <w:vAlign w:val="bottom"/>
          </w:tcPr>
          <w:p>
            <w:pPr>
              <w:jc w:val="right"/>
              <w:ind w:right="60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262,922</w:t>
            </w:r>
          </w:p>
        </w:tc>
        <w:tc>
          <w:tcPr>
            <w:tcW w:w="40" w:type="dxa"/>
            <w:vAlign w:val="bottom"/>
          </w:tcPr>
          <w:p>
            <w:pPr>
              <w:spacing w:after="0"/>
              <w:rPr>
                <w:sz w:val="14"/>
                <w:szCs w:val="14"/>
                <w:color w:val="auto"/>
              </w:rPr>
            </w:pPr>
          </w:p>
        </w:tc>
      </w:tr>
      <w:tr>
        <w:trPr>
          <w:trHeight w:val="162"/>
        </w:trPr>
        <w:tc>
          <w:tcPr>
            <w:tcW w:w="76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(12,587)</w:t>
            </w:r>
          </w:p>
        </w:tc>
      </w:tr>
      <w:tr>
        <w:trPr>
          <w:trHeight w:val="171"/>
        </w:trPr>
        <w:tc>
          <w:tcPr>
            <w:tcW w:w="76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(9,563)</w:t>
            </w:r>
          </w:p>
        </w:tc>
      </w:tr>
      <w:tr>
        <w:trPr>
          <w:trHeight w:val="156"/>
        </w:trPr>
        <w:tc>
          <w:tcPr>
            <w:tcW w:w="760" w:type="dxa"/>
            <w:vAlign w:val="bottom"/>
            <w:tcBorders>
              <w:top w:val="single" w:sz="8" w:color="auto"/>
              <w:bottom w:val="single" w:sz="8" w:color="auto"/>
            </w:tcBorders>
          </w:tcPr>
          <w:p>
            <w:pPr>
              <w:jc w:val="right"/>
              <w:ind w:right="60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240,772</w:t>
            </w:r>
          </w:p>
        </w:tc>
        <w:tc>
          <w:tcPr>
            <w:tcW w:w="40" w:type="dxa"/>
            <w:vAlign w:val="bottom"/>
          </w:tcPr>
          <w:p>
            <w:pPr>
              <w:spacing w:after="0"/>
              <w:rPr>
                <w:sz w:val="13"/>
                <w:szCs w:val="13"/>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420" w:space="720"/>
            <w:col w:w="2100"/>
          </w:cols>
          <w:pgMar w:left="320" w:top="1318" w:right="339" w:bottom="1440" w:gutter="0" w:footer="0" w:header="0"/>
          <w:type w:val="continuous"/>
        </w:sectPr>
      </w:pPr>
    </w:p>
    <w:p>
      <w:pPr>
        <w:spacing w:after="0" w:line="7" w:lineRule="exact"/>
        <w:rPr>
          <w:sz w:val="20"/>
          <w:szCs w:val="20"/>
          <w:color w:val="auto"/>
        </w:rPr>
      </w:pPr>
    </w:p>
    <w:p>
      <w:pPr>
        <w:spacing w:after="0" w:line="285" w:lineRule="auto"/>
        <w:rPr>
          <w:sz w:val="20"/>
          <w:szCs w:val="20"/>
          <w:color w:val="auto"/>
        </w:rPr>
      </w:pPr>
      <w:r>
        <w:rPr>
          <w:rFonts w:ascii="Arial" w:cs="Arial" w:eastAsia="Arial" w:hAnsi="Arial"/>
          <w:sz w:val="14"/>
          <w:szCs w:val="14"/>
          <w:color w:val="auto"/>
        </w:rPr>
        <w:t>The decrease in net sales for the Americas Segment from the prior nine-month period to the current nine-month period was primarily attributable to a lower-priced sales mix and lower sales volumes as discussed above.</w:t>
      </w:r>
    </w:p>
    <w:p>
      <w:pPr>
        <w:sectPr>
          <w:pgSz w:w="11900" w:h="16838" w:orient="portrait"/>
          <w:cols w:equalWidth="0" w:num="1">
            <w:col w:w="11240"/>
          </w:cols>
          <w:pgMar w:left="320" w:top="1318" w:right="339" w:bottom="1440" w:gutter="0" w:footer="0" w:header="0"/>
          <w:type w:val="continuous"/>
        </w:sectPr>
      </w:pP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color w:val="auto"/>
        </w:rPr>
        <w:t>The change in Segment Profit for the Americas Segment was as follows: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Segment Profit for the prior nine-month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0287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Change in underlying unit margins and sales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1176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32320" cy="11176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Decrease in sales volumes</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Segment Profit for the current nine-month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800" w:type="dxa"/>
            <w:vAlign w:val="bottom"/>
          </w:tcPr>
          <w:p>
            <w:pPr>
              <w:jc w:val="right"/>
              <w:ind w:right="64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1,120</w:t>
            </w:r>
          </w:p>
        </w:tc>
        <w:tc>
          <w:tcPr>
            <w:tcW w:w="40" w:type="dxa"/>
            <w:vAlign w:val="bottom"/>
          </w:tcPr>
          <w:p>
            <w:pPr>
              <w:spacing w:after="0"/>
              <w:rPr>
                <w:sz w:val="14"/>
                <w:szCs w:val="14"/>
                <w:color w:val="auto"/>
              </w:rPr>
            </w:pPr>
          </w:p>
        </w:tc>
      </w:tr>
      <w:tr>
        <w:trPr>
          <w:trHeight w:val="162"/>
        </w:trPr>
        <w:tc>
          <w:tcPr>
            <w:tcW w:w="8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15,198</w:t>
            </w:r>
          </w:p>
        </w:tc>
        <w:tc>
          <w:tcPr>
            <w:tcW w:w="40" w:type="dxa"/>
            <w:vAlign w:val="bottom"/>
          </w:tcPr>
          <w:p>
            <w:pPr>
              <w:spacing w:after="0"/>
              <w:rPr>
                <w:sz w:val="14"/>
                <w:szCs w:val="14"/>
                <w:color w:val="auto"/>
              </w:rPr>
            </w:pPr>
          </w:p>
        </w:tc>
      </w:tr>
      <w:tr>
        <w:trPr>
          <w:trHeight w:val="171"/>
        </w:trPr>
        <w:tc>
          <w:tcPr>
            <w:tcW w:w="80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(42)</w:t>
            </w:r>
          </w:p>
        </w:tc>
      </w:tr>
      <w:tr>
        <w:trPr>
          <w:trHeight w:val="155"/>
        </w:trPr>
        <w:tc>
          <w:tcPr>
            <w:tcW w:w="800" w:type="dxa"/>
            <w:vAlign w:val="bottom"/>
            <w:tcBorders>
              <w:top w:val="single" w:sz="8" w:color="auto"/>
              <w:bottom w:val="single" w:sz="8" w:color="auto"/>
            </w:tcBorders>
          </w:tcPr>
          <w:p>
            <w:pPr>
              <w:jc w:val="right"/>
              <w:ind w:right="6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16,276</w:t>
            </w:r>
          </w:p>
        </w:tc>
        <w:tc>
          <w:tcPr>
            <w:tcW w:w="40" w:type="dxa"/>
            <w:vAlign w:val="bottom"/>
          </w:tcPr>
          <w:p>
            <w:pPr>
              <w:spacing w:after="0"/>
              <w:rPr>
                <w:sz w:val="13"/>
                <w:szCs w:val="13"/>
                <w:color w:val="auto"/>
              </w:rPr>
            </w:pP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420" w:space="720"/>
            <w:col w:w="2100"/>
          </w:cols>
          <w:pgMar w:left="320" w:top="1318" w:right="339" w:bottom="1440" w:gutter="0" w:footer="0" w:header="0"/>
          <w:type w:val="continuous"/>
        </w:sectPr>
      </w:pPr>
    </w:p>
    <w:p>
      <w:pPr>
        <w:spacing w:after="0" w:line="7" w:lineRule="exact"/>
        <w:rPr>
          <w:sz w:val="20"/>
          <w:szCs w:val="20"/>
          <w:color w:val="auto"/>
        </w:rPr>
      </w:pPr>
    </w:p>
    <w:p>
      <w:pPr>
        <w:ind w:right="20"/>
        <w:spacing w:after="0" w:line="285" w:lineRule="auto"/>
        <w:rPr>
          <w:sz w:val="20"/>
          <w:szCs w:val="20"/>
          <w:color w:val="auto"/>
        </w:rPr>
      </w:pPr>
      <w:r>
        <w:rPr>
          <w:rFonts w:ascii="Arial" w:cs="Arial" w:eastAsia="Arial" w:hAnsi="Arial"/>
          <w:sz w:val="14"/>
          <w:szCs w:val="14"/>
          <w:color w:val="auto"/>
        </w:rPr>
        <w:t>The increase in Segment Profit for the Americas Segment from the prior nine-month period to the current nine-month period was primarily attributable to overall cost-saving initiatives, including reductions in manufacturing costs from the consolidation of Americas yarn manufacturing operations and the Fiscal 2026 Profit Improvement Plan.</w:t>
      </w: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Brazil Segment</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The components of Segment Profit, each component as a percentage of net sales, and the percentage increase or decrease over the prior nine-month period amounts for the</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Brazil Segment,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For the Nine Months Ended</w:t>
            </w:r>
          </w:p>
        </w:tc>
        <w:tc>
          <w:tcPr>
            <w:tcW w:w="12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3"/>
          </w:tcPr>
          <w:p>
            <w:pPr>
              <w:jc w:val="right"/>
              <w:ind w:right="768"/>
              <w:spacing w:after="0" w:line="155" w:lineRule="exact"/>
              <w:rPr>
                <w:sz w:val="20"/>
                <w:szCs w:val="20"/>
                <w:color w:val="auto"/>
              </w:rPr>
            </w:pPr>
            <w:r>
              <w:rPr>
                <w:rFonts w:ascii="Arial" w:cs="Arial" w:eastAsia="Arial" w:hAnsi="Arial"/>
                <w:sz w:val="14"/>
                <w:szCs w:val="14"/>
                <w:b w:val="1"/>
                <w:bCs w:val="1"/>
                <w:color w:val="auto"/>
              </w:rPr>
              <w:t>March 29, 2026</w:t>
            </w:r>
          </w:p>
        </w:tc>
        <w:tc>
          <w:tcPr>
            <w:tcW w:w="2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3"/>
          </w:tcPr>
          <w:p>
            <w:pPr>
              <w:jc w:val="right"/>
              <w:ind w:right="728"/>
              <w:spacing w:after="0" w:line="155" w:lineRule="exact"/>
              <w:rPr>
                <w:sz w:val="20"/>
                <w:szCs w:val="20"/>
                <w:color w:val="auto"/>
              </w:rPr>
            </w:pPr>
            <w:r>
              <w:rPr>
                <w:rFonts w:ascii="Arial" w:cs="Arial" w:eastAsia="Arial" w:hAnsi="Arial"/>
                <w:sz w:val="14"/>
                <w:szCs w:val="14"/>
                <w:b w:val="1"/>
                <w:bCs w:val="1"/>
                <w:color w:val="auto"/>
              </w:rPr>
              <w:t>March 30, 2025</w:t>
            </w:r>
          </w:p>
        </w:tc>
        <w:tc>
          <w:tcPr>
            <w:tcW w:w="1480" w:type="dxa"/>
            <w:vAlign w:val="bottom"/>
            <w:gridSpan w:val="2"/>
            <w:vMerge w:val="restart"/>
          </w:tcPr>
          <w:p>
            <w:pPr>
              <w:jc w:val="right"/>
              <w:ind w:right="50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jc w:val="right"/>
              <w:ind w:right="408"/>
              <w:spacing w:after="0" w:line="147" w:lineRule="exact"/>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jc w:val="right"/>
              <w:ind w:right="388"/>
              <w:spacing w:after="0" w:line="147" w:lineRule="exact"/>
              <w:rPr>
                <w:sz w:val="20"/>
                <w:szCs w:val="20"/>
                <w:color w:val="auto"/>
              </w:rPr>
            </w:pPr>
            <w:r>
              <w:rPr>
                <w:rFonts w:ascii="Arial" w:cs="Arial" w:eastAsia="Arial" w:hAnsi="Arial"/>
                <w:sz w:val="14"/>
                <w:szCs w:val="14"/>
                <w:b w:val="1"/>
                <w:bCs w:val="1"/>
                <w:color w:val="auto"/>
              </w:rPr>
              <w:t>% of</w:t>
            </w:r>
          </w:p>
        </w:tc>
        <w:tc>
          <w:tcPr>
            <w:tcW w:w="14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Net Sales</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Net Sales</w:t>
            </w:r>
          </w:p>
        </w:tc>
        <w:tc>
          <w:tcPr>
            <w:tcW w:w="220" w:type="dxa"/>
            <w:vAlign w:val="bottom"/>
          </w:tcPr>
          <w:p>
            <w:pPr>
              <w:spacing w:after="0"/>
              <w:rPr>
                <w:sz w:val="14"/>
                <w:szCs w:val="14"/>
                <w:color w:val="auto"/>
              </w:rPr>
            </w:pPr>
          </w:p>
        </w:tc>
        <w:tc>
          <w:tcPr>
            <w:tcW w:w="12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Net sales</w:t>
            </w:r>
          </w:p>
        </w:tc>
        <w:tc>
          <w:tcPr>
            <w:tcW w:w="380" w:type="dxa"/>
            <w:vAlign w:val="bottom"/>
            <w:shd w:val="clear" w:color="auto" w:fill="CFF0FC"/>
          </w:tcPr>
          <w:p>
            <w:pPr>
              <w:jc w:val="right"/>
              <w:ind w:right="228"/>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81,201</w:t>
            </w:r>
          </w:p>
        </w:tc>
        <w:tc>
          <w:tcPr>
            <w:tcW w:w="24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100.0</w:t>
            </w:r>
          </w:p>
        </w:tc>
        <w:tc>
          <w:tcPr>
            <w:tcW w:w="620" w:type="dxa"/>
            <w:vAlign w:val="bottom"/>
            <w:gridSpan w:val="2"/>
            <w:shd w:val="clear" w:color="auto" w:fill="CFF0FC"/>
          </w:tcPr>
          <w:p>
            <w:pPr>
              <w:jc w:val="right"/>
              <w:ind w:right="228"/>
              <w:spacing w:after="0" w:line="155" w:lineRule="exact"/>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89,916</w:t>
            </w:r>
          </w:p>
        </w:tc>
        <w:tc>
          <w:tcPr>
            <w:tcW w:w="26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100.0</w:t>
            </w:r>
          </w:p>
        </w:tc>
        <w:tc>
          <w:tcPr>
            <w:tcW w:w="1600" w:type="dxa"/>
            <w:vAlign w:val="bottom"/>
            <w:gridSpan w:val="3"/>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62"/>
        </w:trPr>
        <w:tc>
          <w:tcPr>
            <w:tcW w:w="4120" w:type="dxa"/>
            <w:vAlign w:val="bottom"/>
          </w:tcPr>
          <w:p>
            <w:pPr>
              <w:spacing w:after="0"/>
              <w:rPr>
                <w:sz w:val="20"/>
                <w:szCs w:val="20"/>
                <w:color w:val="auto"/>
              </w:rPr>
            </w:pPr>
            <w:r>
              <w:rPr>
                <w:rFonts w:ascii="Arial" w:cs="Arial" w:eastAsia="Arial" w:hAnsi="Arial"/>
                <w:sz w:val="14"/>
                <w:szCs w:val="14"/>
                <w:color w:val="auto"/>
              </w:rPr>
              <w:t>Cost of sales</w:t>
            </w: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74,733</w:t>
            </w:r>
          </w:p>
        </w:tc>
        <w:tc>
          <w:tcPr>
            <w:tcW w:w="240" w:type="dxa"/>
            <w:vAlign w:val="bottom"/>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92.0</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75,205</w:t>
            </w:r>
          </w:p>
        </w:tc>
        <w:tc>
          <w:tcPr>
            <w:tcW w:w="260" w:type="dxa"/>
            <w:vAlign w:val="bottom"/>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83.6</w:t>
            </w:r>
          </w:p>
        </w:tc>
        <w:tc>
          <w:tcPr>
            <w:tcW w:w="1600" w:type="dxa"/>
            <w:vAlign w:val="bottom"/>
            <w:gridSpan w:val="3"/>
          </w:tcPr>
          <w:p>
            <w:pPr>
              <w:jc w:val="right"/>
              <w:ind w:right="80"/>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56"/>
        </w:trPr>
        <w:tc>
          <w:tcPr>
            <w:tcW w:w="41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Gross profit</w:t>
            </w:r>
          </w:p>
        </w:tc>
        <w:tc>
          <w:tcPr>
            <w:tcW w:w="38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6,468</w:t>
            </w:r>
          </w:p>
        </w:tc>
        <w:tc>
          <w:tcPr>
            <w:tcW w:w="24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8.0</w:t>
            </w:r>
          </w:p>
        </w:tc>
        <w:tc>
          <w:tcPr>
            <w:tcW w:w="2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14,711</w:t>
            </w:r>
          </w:p>
        </w:tc>
        <w:tc>
          <w:tcPr>
            <w:tcW w:w="26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16.4</w:t>
            </w:r>
          </w:p>
        </w:tc>
        <w:tc>
          <w:tcPr>
            <w:tcW w:w="1600" w:type="dxa"/>
            <w:vAlign w:val="bottom"/>
            <w:gridSpan w:val="3"/>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(56.0)</w:t>
            </w:r>
          </w:p>
        </w:tc>
        <w:tc>
          <w:tcPr>
            <w:tcW w:w="0" w:type="dxa"/>
            <w:vAlign w:val="bottom"/>
          </w:tcPr>
          <w:p>
            <w:pPr>
              <w:spacing w:after="0"/>
              <w:rPr>
                <w:sz w:val="1"/>
                <w:szCs w:val="1"/>
                <w:color w:val="auto"/>
              </w:rPr>
            </w:pPr>
          </w:p>
        </w:tc>
      </w:tr>
      <w:tr>
        <w:trPr>
          <w:trHeight w:val="162"/>
        </w:trPr>
        <w:tc>
          <w:tcPr>
            <w:tcW w:w="4120" w:type="dxa"/>
            <w:vAlign w:val="bottom"/>
          </w:tcPr>
          <w:p>
            <w:pPr>
              <w:spacing w:after="0"/>
              <w:rPr>
                <w:sz w:val="20"/>
                <w:szCs w:val="20"/>
                <w:color w:val="auto"/>
              </w:rPr>
            </w:pPr>
            <w:r>
              <w:rPr>
                <w:rFonts w:ascii="Arial" w:cs="Arial" w:eastAsia="Arial" w:hAnsi="Arial"/>
                <w:sz w:val="14"/>
                <w:szCs w:val="14"/>
                <w:color w:val="auto"/>
              </w:rPr>
              <w:t>Depreciation expense</w:t>
            </w: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2,412</w:t>
            </w:r>
          </w:p>
        </w:tc>
        <w:tc>
          <w:tcPr>
            <w:tcW w:w="240" w:type="dxa"/>
            <w:vAlign w:val="bottom"/>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2,044</w:t>
            </w:r>
          </w:p>
        </w:tc>
        <w:tc>
          <w:tcPr>
            <w:tcW w:w="260" w:type="dxa"/>
            <w:vAlign w:val="bottom"/>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18.0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12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Segment Profit</w:t>
            </w:r>
          </w:p>
        </w:tc>
        <w:tc>
          <w:tcPr>
            <w:tcW w:w="380" w:type="dxa"/>
            <w:vAlign w:val="bottom"/>
            <w:tcBorders>
              <w:bottom w:val="single" w:sz="8" w:color="auto"/>
            </w:tcBorders>
            <w:shd w:val="clear" w:color="auto" w:fill="CFF0FC"/>
          </w:tcPr>
          <w:p>
            <w:pPr>
              <w:jc w:val="right"/>
              <w:ind w:right="228"/>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8,880</w:t>
            </w:r>
          </w:p>
        </w:tc>
        <w:tc>
          <w:tcPr>
            <w:tcW w:w="24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10.9</w:t>
            </w:r>
          </w:p>
        </w:tc>
        <w:tc>
          <w:tcPr>
            <w:tcW w:w="24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jc w:val="right"/>
              <w:ind w:right="228"/>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16,755</w:t>
            </w:r>
          </w:p>
        </w:tc>
        <w:tc>
          <w:tcPr>
            <w:tcW w:w="26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18.6</w:t>
            </w:r>
          </w:p>
        </w:tc>
        <w:tc>
          <w:tcPr>
            <w:tcW w:w="1600" w:type="dxa"/>
            <w:vAlign w:val="bottom"/>
            <w:tcBorders>
              <w:bottom w:val="single" w:sz="8" w:color="CFF0FC"/>
            </w:tcBorders>
            <w:gridSpan w:val="3"/>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(47.0)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-24765</wp:posOffset>
            </wp:positionV>
            <wp:extent cx="9461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-8255</wp:posOffset>
            </wp:positionV>
            <wp:extent cx="9461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-24765</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-8255</wp:posOffset>
            </wp:positionV>
            <wp:extent cx="6858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-24765</wp:posOffset>
            </wp:positionV>
            <wp:extent cx="939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-8255</wp:posOffset>
            </wp:positionV>
            <wp:extent cx="9398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-8255</wp:posOffset>
            </wp:positionV>
            <wp:extent cx="6858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Segment net sales as a percentage of</w:t>
            </w:r>
          </w:p>
        </w:tc>
        <w:tc>
          <w:tcPr>
            <w:tcW w:w="1780" w:type="dxa"/>
            <w:vAlign w:val="bottom"/>
            <w:shd w:val="clear" w:color="auto" w:fill="CFF0FC"/>
          </w:tcPr>
          <w:p>
            <w:pPr>
              <w:spacing w:after="0"/>
              <w:rPr>
                <w:sz w:val="14"/>
                <w:szCs w:val="14"/>
                <w:color w:val="auto"/>
              </w:rPr>
            </w:pPr>
          </w:p>
        </w:tc>
        <w:tc>
          <w:tcPr>
            <w:tcW w:w="5760" w:type="dxa"/>
            <w:vAlign w:val="bottom"/>
            <w:shd w:val="clear" w:color="auto" w:fill="CFF0FC"/>
          </w:tcPr>
          <w:p>
            <w:pPr>
              <w:spacing w:after="0"/>
              <w:rPr>
                <w:sz w:val="14"/>
                <w:szCs w:val="14"/>
                <w:color w:val="auto"/>
              </w:rPr>
            </w:pPr>
          </w:p>
        </w:tc>
      </w:tr>
      <w:tr>
        <w:trPr>
          <w:trHeight w:val="171"/>
        </w:trPr>
        <w:tc>
          <w:tcPr>
            <w:tcW w:w="3700" w:type="dxa"/>
            <w:vAlign w:val="bottom"/>
            <w:shd w:val="clear" w:color="auto" w:fill="CFF0FC"/>
          </w:tcPr>
          <w:p>
            <w:pPr>
              <w:ind w:left="80"/>
              <w:spacing w:after="0"/>
              <w:rPr>
                <w:sz w:val="20"/>
                <w:szCs w:val="20"/>
                <w:color w:val="auto"/>
              </w:rPr>
            </w:pPr>
            <w:r>
              <w:rPr>
                <w:rFonts w:ascii="Arial" w:cs="Arial" w:eastAsia="Arial" w:hAnsi="Arial"/>
                <w:sz w:val="14"/>
                <w:szCs w:val="14"/>
                <w:color w:val="auto"/>
              </w:rPr>
              <w:t>consolidated amounts</w:t>
            </w:r>
          </w:p>
        </w:tc>
        <w:tc>
          <w:tcPr>
            <w:tcW w:w="17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21.0%</w:t>
            </w:r>
          </w:p>
        </w:tc>
        <w:tc>
          <w:tcPr>
            <w:tcW w:w="5760" w:type="dxa"/>
            <w:vAlign w:val="bottom"/>
            <w:shd w:val="clear" w:color="auto" w:fill="CFF0FC"/>
          </w:tcPr>
          <w:p>
            <w:pPr>
              <w:jc w:val="right"/>
              <w:ind w:right="2868"/>
              <w:spacing w:after="0"/>
              <w:rPr>
                <w:sz w:val="20"/>
                <w:szCs w:val="20"/>
                <w:color w:val="auto"/>
              </w:rPr>
            </w:pPr>
            <w:r>
              <w:rPr>
                <w:rFonts w:ascii="Arial" w:cs="Arial" w:eastAsia="Arial" w:hAnsi="Arial"/>
                <w:sz w:val="14"/>
                <w:szCs w:val="14"/>
                <w:color w:val="auto"/>
              </w:rPr>
              <w:t>20.8%</w:t>
            </w:r>
          </w:p>
        </w:tc>
      </w:tr>
      <w:tr>
        <w:trPr>
          <w:trHeight w:val="153"/>
        </w:trPr>
        <w:tc>
          <w:tcPr>
            <w:tcW w:w="3700" w:type="dxa"/>
            <w:vAlign w:val="bottom"/>
          </w:tcPr>
          <w:p>
            <w:pPr>
              <w:spacing w:after="0" w:line="153" w:lineRule="exact"/>
              <w:rPr>
                <w:sz w:val="20"/>
                <w:szCs w:val="20"/>
                <w:color w:val="auto"/>
              </w:rPr>
            </w:pPr>
            <w:r>
              <w:rPr>
                <w:rFonts w:ascii="Arial" w:cs="Arial" w:eastAsia="Arial" w:hAnsi="Arial"/>
                <w:sz w:val="14"/>
                <w:szCs w:val="14"/>
                <w:color w:val="auto"/>
              </w:rPr>
              <w:t>Segment Profit as a percentage of</w:t>
            </w:r>
          </w:p>
        </w:tc>
        <w:tc>
          <w:tcPr>
            <w:tcW w:w="1780" w:type="dxa"/>
            <w:vAlign w:val="bottom"/>
          </w:tcPr>
          <w:p>
            <w:pPr>
              <w:spacing w:after="0"/>
              <w:rPr>
                <w:sz w:val="13"/>
                <w:szCs w:val="13"/>
                <w:color w:val="auto"/>
              </w:rPr>
            </w:pPr>
          </w:p>
        </w:tc>
        <w:tc>
          <w:tcPr>
            <w:tcW w:w="5760" w:type="dxa"/>
            <w:vAlign w:val="bottom"/>
          </w:tcPr>
          <w:p>
            <w:pPr>
              <w:spacing w:after="0"/>
              <w:rPr>
                <w:sz w:val="13"/>
                <w:szCs w:val="13"/>
                <w:color w:val="auto"/>
              </w:rPr>
            </w:pPr>
          </w:p>
        </w:tc>
      </w:tr>
      <w:tr>
        <w:trPr>
          <w:trHeight w:val="190"/>
        </w:trPr>
        <w:tc>
          <w:tcPr>
            <w:tcW w:w="3700" w:type="dxa"/>
            <w:vAlign w:val="bottom"/>
          </w:tcPr>
          <w:p>
            <w:pPr>
              <w:ind w:left="80"/>
              <w:spacing w:after="0"/>
              <w:rPr>
                <w:sz w:val="20"/>
                <w:szCs w:val="20"/>
                <w:color w:val="auto"/>
              </w:rPr>
            </w:pPr>
            <w:r>
              <w:rPr>
                <w:rFonts w:ascii="Arial" w:cs="Arial" w:eastAsia="Arial" w:hAnsi="Arial"/>
                <w:sz w:val="14"/>
                <w:szCs w:val="14"/>
                <w:color w:val="auto"/>
              </w:rPr>
              <w:t>consolidated amounts</w:t>
            </w:r>
          </w:p>
        </w:tc>
        <w:tc>
          <w:tcPr>
            <w:tcW w:w="1780" w:type="dxa"/>
            <w:vAlign w:val="bottom"/>
          </w:tcPr>
          <w:p>
            <w:pPr>
              <w:jc w:val="right"/>
              <w:ind w:right="8"/>
              <w:spacing w:after="0"/>
              <w:rPr>
                <w:sz w:val="20"/>
                <w:szCs w:val="20"/>
                <w:color w:val="auto"/>
              </w:rPr>
            </w:pPr>
            <w:r>
              <w:rPr>
                <w:rFonts w:ascii="Arial" w:cs="Arial" w:eastAsia="Arial" w:hAnsi="Arial"/>
                <w:sz w:val="14"/>
                <w:szCs w:val="14"/>
                <w:color w:val="auto"/>
              </w:rPr>
              <w:t>26.6%</w:t>
            </w:r>
          </w:p>
        </w:tc>
        <w:tc>
          <w:tcPr>
            <w:tcW w:w="5760" w:type="dxa"/>
            <w:vAlign w:val="bottom"/>
          </w:tcPr>
          <w:p>
            <w:pPr>
              <w:jc w:val="right"/>
              <w:ind w:right="2868"/>
              <w:spacing w:after="0"/>
              <w:rPr>
                <w:sz w:val="20"/>
                <w:szCs w:val="20"/>
                <w:color w:val="auto"/>
              </w:rPr>
            </w:pPr>
            <w:r>
              <w:rPr>
                <w:rFonts w:ascii="Arial" w:cs="Arial" w:eastAsia="Arial" w:hAnsi="Arial"/>
                <w:sz w:val="14"/>
                <w:szCs w:val="14"/>
                <w:color w:val="auto"/>
              </w:rPr>
              <w:t>60.6%</w:t>
            </w:r>
          </w:p>
        </w:tc>
      </w:tr>
      <w:tr>
        <w:trPr>
          <w:trHeight w:val="594"/>
        </w:trPr>
        <w:tc>
          <w:tcPr>
            <w:tcW w:w="37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760" w:type="dxa"/>
            <w:vAlign w:val="bottom"/>
          </w:tcPr>
          <w:p>
            <w:pPr>
              <w:jc w:val="right"/>
              <w:ind w:right="5468"/>
              <w:spacing w:after="0"/>
              <w:rPr>
                <w:sz w:val="20"/>
                <w:szCs w:val="20"/>
                <w:color w:val="auto"/>
              </w:rPr>
            </w:pPr>
            <w:r>
              <w:rPr>
                <w:rFonts w:ascii="Arial" w:cs="Arial" w:eastAsia="Arial" w:hAnsi="Arial"/>
                <w:sz w:val="14"/>
                <w:szCs w:val="14"/>
                <w:color w:val="auto"/>
              </w:rPr>
              <w:t>24</w:t>
            </w:r>
          </w:p>
        </w:tc>
      </w:tr>
      <w:tr>
        <w:trPr>
          <w:trHeight w:val="744"/>
        </w:trPr>
        <w:tc>
          <w:tcPr>
            <w:tcW w:w="370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5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18" w:right="339" w:bottom="1440" w:gutter="0" w:footer="0" w:header="0"/>
          <w:type w:val="continuous"/>
        </w:sectPr>
      </w:pPr>
    </w:p>
    <w:bookmarkStart w:id="27" w:name="page28"/>
    <w:bookmarkEnd w:id="27"/>
    <w:tbl>
      <w:tblPr>
        <w:tblLayout w:type="fixed"/>
        <w:tblInd w:w="0" w:type="dxa"/>
        <w:tblCellMar>
          <w:top w:w="0" w:type="dxa"/>
          <w:left w:w="0" w:type="dxa"/>
          <w:bottom w:w="0" w:type="dxa"/>
          <w:right w:w="0" w:type="dxa"/>
        </w:tblCellMar>
      </w:tblPr>
      <w:tr>
        <w:trPr>
          <w:trHeight w:val="190"/>
        </w:trPr>
        <w:tc>
          <w:tcPr>
            <w:tcW w:w="9140" w:type="dxa"/>
            <w:vAlign w:val="bottom"/>
          </w:tcPr>
          <w:p>
            <w:pPr>
              <w:spacing w:after="0"/>
              <w:rPr>
                <w:sz w:val="20"/>
                <w:szCs w:val="20"/>
                <w:color w:val="auto"/>
              </w:rPr>
            </w:pPr>
            <w:r>
              <w:rPr>
                <w:rFonts w:ascii="Arial" w:cs="Arial" w:eastAsia="Arial" w:hAnsi="Arial"/>
                <w:sz w:val="14"/>
                <w:szCs w:val="14"/>
                <w:color w:val="auto"/>
              </w:rPr>
              <w:t>The change in net sales for the Brazil Segment was as follows:</w:t>
            </w:r>
          </w:p>
        </w:tc>
        <w:tc>
          <w:tcPr>
            <w:tcW w:w="7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89"/>
        </w:trPr>
        <w:tc>
          <w:tcPr>
            <w:tcW w:w="9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162"/>
        </w:trPr>
        <w:tc>
          <w:tcPr>
            <w:tcW w:w="9140" w:type="dxa"/>
            <w:vAlign w:val="bottom"/>
            <w:shd w:val="clear" w:color="auto" w:fill="CFF0FC"/>
          </w:tcPr>
          <w:p>
            <w:pPr>
              <w:spacing w:after="0"/>
              <w:rPr>
                <w:sz w:val="20"/>
                <w:szCs w:val="20"/>
                <w:color w:val="auto"/>
              </w:rPr>
            </w:pPr>
            <w:r>
              <w:rPr>
                <w:rFonts w:ascii="Arial" w:cs="Arial" w:eastAsia="Arial" w:hAnsi="Arial"/>
                <w:sz w:val="14"/>
                <w:szCs w:val="14"/>
                <w:color w:val="auto"/>
              </w:rPr>
              <w:t>Net sales for the prior nine-month period</w:t>
            </w:r>
          </w:p>
        </w:tc>
        <w:tc>
          <w:tcPr>
            <w:tcW w:w="780" w:type="dxa"/>
            <w:vAlign w:val="bottom"/>
            <w:shd w:val="clear" w:color="auto" w:fill="CFF0FC"/>
          </w:tcPr>
          <w:p>
            <w:pPr>
              <w:jc w:val="right"/>
              <w:ind w:right="628"/>
              <w:spacing w:after="0"/>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89,916</w:t>
            </w:r>
          </w:p>
        </w:tc>
      </w:tr>
      <w:tr>
        <w:trPr>
          <w:trHeight w:val="162"/>
        </w:trPr>
        <w:tc>
          <w:tcPr>
            <w:tcW w:w="9140" w:type="dxa"/>
            <w:vAlign w:val="bottom"/>
          </w:tcPr>
          <w:p>
            <w:pPr>
              <w:spacing w:after="0"/>
              <w:rPr>
                <w:sz w:val="20"/>
                <w:szCs w:val="20"/>
                <w:color w:val="auto"/>
              </w:rPr>
            </w:pPr>
            <w:r>
              <w:rPr>
                <w:rFonts w:ascii="Arial" w:cs="Arial" w:eastAsia="Arial" w:hAnsi="Arial"/>
                <w:sz w:val="14"/>
                <w:szCs w:val="14"/>
                <w:color w:val="auto"/>
              </w:rPr>
              <w:t>Change in average selling price and change in sales mix</w:t>
            </w:r>
          </w:p>
        </w:tc>
        <w:tc>
          <w:tcPr>
            <w:tcW w:w="78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(10,253)</w:t>
            </w:r>
          </w:p>
        </w:tc>
      </w:tr>
      <w:tr>
        <w:trPr>
          <w:trHeight w:val="162"/>
        </w:trPr>
        <w:tc>
          <w:tcPr>
            <w:tcW w:w="9140" w:type="dxa"/>
            <w:vAlign w:val="bottom"/>
            <w:shd w:val="clear" w:color="auto" w:fill="CFF0FC"/>
          </w:tcPr>
          <w:p>
            <w:pPr>
              <w:spacing w:after="0"/>
              <w:rPr>
                <w:sz w:val="20"/>
                <w:szCs w:val="20"/>
                <w:color w:val="auto"/>
              </w:rPr>
            </w:pPr>
            <w:r>
              <w:rPr>
                <w:rFonts w:ascii="Arial" w:cs="Arial" w:eastAsia="Arial" w:hAnsi="Arial"/>
                <w:sz w:val="14"/>
                <w:szCs w:val="14"/>
                <w:color w:val="auto"/>
              </w:rPr>
              <w:t>Decrease in sales volumes</w:t>
            </w:r>
          </w:p>
        </w:tc>
        <w:tc>
          <w:tcPr>
            <w:tcW w:w="78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(4,356)</w:t>
            </w:r>
          </w:p>
        </w:tc>
      </w:tr>
      <w:tr>
        <w:trPr>
          <w:trHeight w:val="162"/>
        </w:trPr>
        <w:tc>
          <w:tcPr>
            <w:tcW w:w="9140" w:type="dxa"/>
            <w:vAlign w:val="bottom"/>
          </w:tcPr>
          <w:p>
            <w:pPr>
              <w:spacing w:after="0"/>
              <w:rPr>
                <w:sz w:val="20"/>
                <w:szCs w:val="20"/>
                <w:color w:val="auto"/>
              </w:rPr>
            </w:pPr>
            <w:r>
              <w:rPr>
                <w:rFonts w:ascii="Arial" w:cs="Arial" w:eastAsia="Arial" w:hAnsi="Arial"/>
                <w:sz w:val="14"/>
                <w:szCs w:val="14"/>
                <w:color w:val="auto"/>
              </w:rPr>
              <w:t>Favorable foreign currency translation effects</w:t>
            </w:r>
          </w:p>
        </w:tc>
        <w:tc>
          <w:tcPr>
            <w:tcW w:w="7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5,894</w:t>
            </w:r>
          </w:p>
        </w:tc>
        <w:tc>
          <w:tcPr>
            <w:tcW w:w="120" w:type="dxa"/>
            <w:vAlign w:val="bottom"/>
          </w:tcPr>
          <w:p>
            <w:pPr>
              <w:spacing w:after="0"/>
              <w:rPr>
                <w:sz w:val="14"/>
                <w:szCs w:val="14"/>
                <w:color w:val="auto"/>
              </w:rPr>
            </w:pPr>
          </w:p>
        </w:tc>
      </w:tr>
      <w:tr>
        <w:trPr>
          <w:trHeight w:val="196"/>
        </w:trPr>
        <w:tc>
          <w:tcPr>
            <w:tcW w:w="914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Net sales for the current nine-month period</w:t>
            </w:r>
          </w:p>
        </w:tc>
        <w:tc>
          <w:tcPr>
            <w:tcW w:w="780" w:type="dxa"/>
            <w:vAlign w:val="bottom"/>
            <w:tcBorders>
              <w:bottom w:val="single" w:sz="8" w:color="auto"/>
            </w:tcBorders>
            <w:shd w:val="clear" w:color="auto" w:fill="CFF0FC"/>
          </w:tcPr>
          <w:p>
            <w:pPr>
              <w:jc w:val="right"/>
              <w:ind w:right="62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81,201</w:t>
            </w:r>
          </w:p>
        </w:tc>
        <w:tc>
          <w:tcPr>
            <w:tcW w:w="12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The decrease in net sales for the Brazil Segment from the prior nine-month period to the current nine-month period was primarily attributable to (i) lower selling prices associated with competitive import pricing pressures and (ii) lower sales volumes due to market conditions, partially offset by favorable foreign currency translation effects from the strengthening of the BRL versus the USD.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140" w:type="dxa"/>
            <w:vAlign w:val="bottom"/>
          </w:tcPr>
          <w:p>
            <w:pPr>
              <w:spacing w:after="0"/>
              <w:rPr>
                <w:sz w:val="20"/>
                <w:szCs w:val="20"/>
                <w:color w:val="auto"/>
              </w:rPr>
            </w:pPr>
            <w:r>
              <w:rPr>
                <w:rFonts w:ascii="Arial" w:cs="Arial" w:eastAsia="Arial" w:hAnsi="Arial"/>
                <w:sz w:val="14"/>
                <w:szCs w:val="14"/>
                <w:color w:val="auto"/>
              </w:rPr>
              <w:t>The change in Segment Profit for the Brazil Segment was as follows:</w:t>
            </w:r>
          </w:p>
        </w:tc>
        <w:tc>
          <w:tcPr>
            <w:tcW w:w="8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89"/>
        </w:trPr>
        <w:tc>
          <w:tcPr>
            <w:tcW w:w="9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162"/>
        </w:trPr>
        <w:tc>
          <w:tcPr>
            <w:tcW w:w="9140" w:type="dxa"/>
            <w:vAlign w:val="bottom"/>
            <w:shd w:val="clear" w:color="auto" w:fill="CFF0FC"/>
          </w:tcPr>
          <w:p>
            <w:pPr>
              <w:spacing w:after="0"/>
              <w:rPr>
                <w:sz w:val="20"/>
                <w:szCs w:val="20"/>
                <w:color w:val="auto"/>
              </w:rPr>
            </w:pPr>
            <w:r>
              <w:rPr>
                <w:rFonts w:ascii="Arial" w:cs="Arial" w:eastAsia="Arial" w:hAnsi="Arial"/>
                <w:sz w:val="14"/>
                <w:szCs w:val="14"/>
                <w:color w:val="auto"/>
              </w:rPr>
              <w:t>Segment Profit for the prior nine-month period</w:t>
            </w:r>
          </w:p>
        </w:tc>
        <w:tc>
          <w:tcPr>
            <w:tcW w:w="800" w:type="dxa"/>
            <w:vAlign w:val="bottom"/>
            <w:shd w:val="clear" w:color="auto" w:fill="CFF0FC"/>
          </w:tcPr>
          <w:p>
            <w:pPr>
              <w:jc w:val="right"/>
              <w:ind w:right="648"/>
              <w:spacing w:after="0"/>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16,755</w:t>
            </w:r>
          </w:p>
        </w:tc>
      </w:tr>
      <w:tr>
        <w:trPr>
          <w:trHeight w:val="162"/>
        </w:trPr>
        <w:tc>
          <w:tcPr>
            <w:tcW w:w="9140" w:type="dxa"/>
            <w:vAlign w:val="bottom"/>
          </w:tcPr>
          <w:p>
            <w:pPr>
              <w:spacing w:after="0"/>
              <w:rPr>
                <w:sz w:val="20"/>
                <w:szCs w:val="20"/>
                <w:color w:val="auto"/>
              </w:rPr>
            </w:pPr>
            <w:r>
              <w:rPr>
                <w:rFonts w:ascii="Arial" w:cs="Arial" w:eastAsia="Arial" w:hAnsi="Arial"/>
                <w:sz w:val="14"/>
                <w:szCs w:val="14"/>
                <w:color w:val="auto"/>
              </w:rPr>
              <w:t>Decrease in underlying unit margins</w:t>
            </w:r>
          </w:p>
        </w:tc>
        <w:tc>
          <w:tcPr>
            <w:tcW w:w="800" w:type="dxa"/>
            <w:vAlign w:val="bottom"/>
          </w:tcPr>
          <w:p>
            <w:pPr>
              <w:spacing w:after="0"/>
              <w:rPr>
                <w:sz w:val="14"/>
                <w:szCs w:val="14"/>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4"/>
                <w:szCs w:val="14"/>
                <w:color w:val="auto"/>
              </w:rPr>
              <w:t>(7,966)</w:t>
            </w:r>
          </w:p>
        </w:tc>
      </w:tr>
      <w:tr>
        <w:trPr>
          <w:trHeight w:val="162"/>
        </w:trPr>
        <w:tc>
          <w:tcPr>
            <w:tcW w:w="9140" w:type="dxa"/>
            <w:vAlign w:val="bottom"/>
            <w:shd w:val="clear" w:color="auto" w:fill="CFF0FC"/>
          </w:tcPr>
          <w:p>
            <w:pPr>
              <w:spacing w:after="0"/>
              <w:rPr>
                <w:sz w:val="20"/>
                <w:szCs w:val="20"/>
                <w:color w:val="auto"/>
              </w:rPr>
            </w:pPr>
            <w:r>
              <w:rPr>
                <w:rFonts w:ascii="Arial" w:cs="Arial" w:eastAsia="Arial" w:hAnsi="Arial"/>
                <w:sz w:val="14"/>
                <w:szCs w:val="14"/>
                <w:color w:val="auto"/>
              </w:rPr>
              <w:t>Decrease in sales volumes</w:t>
            </w:r>
          </w:p>
        </w:tc>
        <w:tc>
          <w:tcPr>
            <w:tcW w:w="8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(802)</w:t>
            </w:r>
          </w:p>
        </w:tc>
      </w:tr>
      <w:tr>
        <w:trPr>
          <w:trHeight w:val="162"/>
        </w:trPr>
        <w:tc>
          <w:tcPr>
            <w:tcW w:w="9140" w:type="dxa"/>
            <w:vAlign w:val="bottom"/>
          </w:tcPr>
          <w:p>
            <w:pPr>
              <w:spacing w:after="0"/>
              <w:rPr>
                <w:sz w:val="20"/>
                <w:szCs w:val="20"/>
                <w:color w:val="auto"/>
              </w:rPr>
            </w:pPr>
            <w:r>
              <w:rPr>
                <w:rFonts w:ascii="Arial" w:cs="Arial" w:eastAsia="Arial" w:hAnsi="Arial"/>
                <w:sz w:val="14"/>
                <w:szCs w:val="14"/>
                <w:color w:val="auto"/>
              </w:rPr>
              <w:t>Favorable foreign currency translation effects</w:t>
            </w:r>
          </w:p>
        </w:tc>
        <w:tc>
          <w:tcPr>
            <w:tcW w:w="8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893</w:t>
            </w:r>
          </w:p>
        </w:tc>
        <w:tc>
          <w:tcPr>
            <w:tcW w:w="120" w:type="dxa"/>
            <w:vAlign w:val="bottom"/>
          </w:tcPr>
          <w:p>
            <w:pPr>
              <w:spacing w:after="0"/>
              <w:rPr>
                <w:sz w:val="14"/>
                <w:szCs w:val="14"/>
                <w:color w:val="auto"/>
              </w:rPr>
            </w:pPr>
          </w:p>
        </w:tc>
      </w:tr>
      <w:tr>
        <w:trPr>
          <w:trHeight w:val="195"/>
        </w:trPr>
        <w:tc>
          <w:tcPr>
            <w:tcW w:w="914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Segment Profit for the current nine-month period</w:t>
            </w:r>
          </w:p>
        </w:tc>
        <w:tc>
          <w:tcPr>
            <w:tcW w:w="800" w:type="dxa"/>
            <w:vAlign w:val="bottom"/>
            <w:tcBorders>
              <w:bottom w:val="single" w:sz="8" w:color="auto"/>
            </w:tcBorders>
            <w:shd w:val="clear" w:color="auto" w:fill="CFF0FC"/>
          </w:tcPr>
          <w:p>
            <w:pPr>
              <w:jc w:val="right"/>
              <w:ind w:right="6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8,880</w:t>
            </w:r>
          </w:p>
        </w:tc>
        <w:tc>
          <w:tcPr>
            <w:tcW w:w="12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The decrease in Segment Profit for the Brazil Segment from the prior nine-month period to the current nine-month period was primarily attributable to (i) lower conversion margins primarily due to sales mix and import pricing pressures and (ii) a decrease in sales volumes discussed above, partially offset by favorable foreign currency translation effects from the strengthening of the BRL versus the USD. We continue to prioritize innovation and differentiation to improve our portfolio and competitive position in Brazil.</w:t>
      </w:r>
    </w:p>
    <w:p>
      <w:pPr>
        <w:spacing w:after="0" w:line="2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Asia Segment</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The components of Segment Profit, each component as a percentage of net sales, and the percentage increase or decrease over the prior nine-month period amounts for the</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Asia Segment,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For the Nine Months Ended</w:t>
            </w:r>
          </w:p>
        </w:tc>
        <w:tc>
          <w:tcPr>
            <w:tcW w:w="12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3"/>
          </w:tcPr>
          <w:p>
            <w:pPr>
              <w:jc w:val="right"/>
              <w:ind w:right="768"/>
              <w:spacing w:after="0" w:line="155" w:lineRule="exact"/>
              <w:rPr>
                <w:sz w:val="20"/>
                <w:szCs w:val="20"/>
                <w:color w:val="auto"/>
              </w:rPr>
            </w:pPr>
            <w:r>
              <w:rPr>
                <w:rFonts w:ascii="Arial" w:cs="Arial" w:eastAsia="Arial" w:hAnsi="Arial"/>
                <w:sz w:val="14"/>
                <w:szCs w:val="14"/>
                <w:b w:val="1"/>
                <w:bCs w:val="1"/>
                <w:color w:val="auto"/>
              </w:rPr>
              <w:t>March 29, 2026</w:t>
            </w:r>
          </w:p>
        </w:tc>
        <w:tc>
          <w:tcPr>
            <w:tcW w:w="2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3"/>
          </w:tcPr>
          <w:p>
            <w:pPr>
              <w:jc w:val="right"/>
              <w:ind w:right="728"/>
              <w:spacing w:after="0" w:line="155" w:lineRule="exact"/>
              <w:rPr>
                <w:sz w:val="20"/>
                <w:szCs w:val="20"/>
                <w:color w:val="auto"/>
              </w:rPr>
            </w:pPr>
            <w:r>
              <w:rPr>
                <w:rFonts w:ascii="Arial" w:cs="Arial" w:eastAsia="Arial" w:hAnsi="Arial"/>
                <w:sz w:val="14"/>
                <w:szCs w:val="14"/>
                <w:b w:val="1"/>
                <w:bCs w:val="1"/>
                <w:color w:val="auto"/>
              </w:rPr>
              <w:t>March 30, 2025</w:t>
            </w:r>
          </w:p>
        </w:tc>
        <w:tc>
          <w:tcPr>
            <w:tcW w:w="1480" w:type="dxa"/>
            <w:vAlign w:val="bottom"/>
            <w:gridSpan w:val="2"/>
            <w:vMerge w:val="restart"/>
          </w:tcPr>
          <w:p>
            <w:pPr>
              <w:jc w:val="right"/>
              <w:ind w:right="50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jc w:val="right"/>
              <w:ind w:right="408"/>
              <w:spacing w:after="0" w:line="147" w:lineRule="exact"/>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jc w:val="right"/>
              <w:ind w:right="388"/>
              <w:spacing w:after="0" w:line="147" w:lineRule="exact"/>
              <w:rPr>
                <w:sz w:val="20"/>
                <w:szCs w:val="20"/>
                <w:color w:val="auto"/>
              </w:rPr>
            </w:pPr>
            <w:r>
              <w:rPr>
                <w:rFonts w:ascii="Arial" w:cs="Arial" w:eastAsia="Arial" w:hAnsi="Arial"/>
                <w:sz w:val="14"/>
                <w:szCs w:val="14"/>
                <w:b w:val="1"/>
                <w:bCs w:val="1"/>
                <w:color w:val="auto"/>
              </w:rPr>
              <w:t>% of</w:t>
            </w:r>
          </w:p>
        </w:tc>
        <w:tc>
          <w:tcPr>
            <w:tcW w:w="14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Net Sales</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Net Sales</w:t>
            </w:r>
          </w:p>
        </w:tc>
        <w:tc>
          <w:tcPr>
            <w:tcW w:w="22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Net sales</w:t>
            </w:r>
          </w:p>
        </w:tc>
        <w:tc>
          <w:tcPr>
            <w:tcW w:w="380" w:type="dxa"/>
            <w:vAlign w:val="bottom"/>
            <w:shd w:val="clear" w:color="auto" w:fill="CFF0FC"/>
          </w:tcPr>
          <w:p>
            <w:pPr>
              <w:jc w:val="right"/>
              <w:ind w:right="228"/>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65,106</w:t>
            </w:r>
          </w:p>
        </w:tc>
        <w:tc>
          <w:tcPr>
            <w:tcW w:w="24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100.0</w:t>
            </w:r>
          </w:p>
        </w:tc>
        <w:tc>
          <w:tcPr>
            <w:tcW w:w="620" w:type="dxa"/>
            <w:vAlign w:val="bottom"/>
            <w:gridSpan w:val="2"/>
            <w:shd w:val="clear" w:color="auto" w:fill="CFF0FC"/>
          </w:tcPr>
          <w:p>
            <w:pPr>
              <w:jc w:val="right"/>
              <w:ind w:right="228"/>
              <w:spacing w:after="0" w:line="155" w:lineRule="exact"/>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79,971</w:t>
            </w:r>
          </w:p>
        </w:tc>
        <w:tc>
          <w:tcPr>
            <w:tcW w:w="26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100.0</w:t>
            </w:r>
          </w:p>
        </w:tc>
        <w:tc>
          <w:tcPr>
            <w:tcW w:w="1600" w:type="dxa"/>
            <w:vAlign w:val="bottom"/>
            <w:gridSpan w:val="3"/>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162"/>
        </w:trPr>
        <w:tc>
          <w:tcPr>
            <w:tcW w:w="4120" w:type="dxa"/>
            <w:vAlign w:val="bottom"/>
          </w:tcPr>
          <w:p>
            <w:pPr>
              <w:spacing w:after="0"/>
              <w:rPr>
                <w:sz w:val="20"/>
                <w:szCs w:val="20"/>
                <w:color w:val="auto"/>
              </w:rPr>
            </w:pPr>
            <w:r>
              <w:rPr>
                <w:rFonts w:ascii="Arial" w:cs="Arial" w:eastAsia="Arial" w:hAnsi="Arial"/>
                <w:sz w:val="14"/>
                <w:szCs w:val="14"/>
                <w:color w:val="auto"/>
              </w:rPr>
              <w:t>Cost of sales</w:t>
            </w: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56,971</w:t>
            </w:r>
          </w:p>
        </w:tc>
        <w:tc>
          <w:tcPr>
            <w:tcW w:w="240" w:type="dxa"/>
            <w:vAlign w:val="bottom"/>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87.5</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70,260</w:t>
            </w:r>
          </w:p>
        </w:tc>
        <w:tc>
          <w:tcPr>
            <w:tcW w:w="260" w:type="dxa"/>
            <w:vAlign w:val="bottom"/>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87.9</w:t>
            </w:r>
          </w:p>
        </w:tc>
        <w:tc>
          <w:tcPr>
            <w:tcW w:w="1600" w:type="dxa"/>
            <w:vAlign w:val="bottom"/>
            <w:gridSpan w:val="3"/>
          </w:tcPr>
          <w:p>
            <w:pPr>
              <w:jc w:val="right"/>
              <w:ind w:right="80"/>
              <w:spacing w:after="0"/>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155"/>
        </w:trPr>
        <w:tc>
          <w:tcPr>
            <w:tcW w:w="41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Gross profit</w:t>
            </w:r>
          </w:p>
        </w:tc>
        <w:tc>
          <w:tcPr>
            <w:tcW w:w="38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8,135</w:t>
            </w:r>
          </w:p>
        </w:tc>
        <w:tc>
          <w:tcPr>
            <w:tcW w:w="24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12.5</w:t>
            </w:r>
          </w:p>
        </w:tc>
        <w:tc>
          <w:tcPr>
            <w:tcW w:w="2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9,711</w:t>
            </w:r>
          </w:p>
        </w:tc>
        <w:tc>
          <w:tcPr>
            <w:tcW w:w="26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12.1</w:t>
            </w:r>
          </w:p>
        </w:tc>
        <w:tc>
          <w:tcPr>
            <w:tcW w:w="1600" w:type="dxa"/>
            <w:vAlign w:val="bottom"/>
            <w:gridSpan w:val="3"/>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162"/>
        </w:trPr>
        <w:tc>
          <w:tcPr>
            <w:tcW w:w="4120" w:type="dxa"/>
            <w:vAlign w:val="bottom"/>
          </w:tcPr>
          <w:p>
            <w:pPr>
              <w:spacing w:after="0"/>
              <w:rPr>
                <w:sz w:val="20"/>
                <w:szCs w:val="20"/>
                <w:color w:val="auto"/>
              </w:rPr>
            </w:pPr>
            <w:r>
              <w:rPr>
                <w:rFonts w:ascii="Arial" w:cs="Arial" w:eastAsia="Arial" w:hAnsi="Arial"/>
                <w:sz w:val="14"/>
                <w:szCs w:val="14"/>
                <w:color w:val="auto"/>
              </w:rPr>
              <w:t>Depreciation expense</w:t>
            </w: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240" w:type="dxa"/>
            <w:vAlign w:val="bottom"/>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260" w:type="dxa"/>
            <w:vAlign w:val="bottom"/>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600" w:type="dxa"/>
            <w:vAlign w:val="bottom"/>
            <w:gridSpan w:val="3"/>
          </w:tcPr>
          <w:p>
            <w:pPr>
              <w:jc w:val="right"/>
              <w:ind w:right="80"/>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95"/>
        </w:trPr>
        <w:tc>
          <w:tcPr>
            <w:tcW w:w="412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Segment Profit</w:t>
            </w:r>
          </w:p>
        </w:tc>
        <w:tc>
          <w:tcPr>
            <w:tcW w:w="380" w:type="dxa"/>
            <w:vAlign w:val="bottom"/>
            <w:tcBorders>
              <w:bottom w:val="single" w:sz="8" w:color="auto"/>
            </w:tcBorders>
            <w:shd w:val="clear" w:color="auto" w:fill="CFF0FC"/>
          </w:tcPr>
          <w:p>
            <w:pPr>
              <w:jc w:val="right"/>
              <w:ind w:right="228"/>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8,177</w:t>
            </w:r>
          </w:p>
        </w:tc>
        <w:tc>
          <w:tcPr>
            <w:tcW w:w="24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12.6</w:t>
            </w:r>
          </w:p>
        </w:tc>
        <w:tc>
          <w:tcPr>
            <w:tcW w:w="24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jc w:val="right"/>
              <w:ind w:right="228"/>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9,755</w:t>
            </w:r>
          </w:p>
        </w:tc>
        <w:tc>
          <w:tcPr>
            <w:tcW w:w="26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12.2</w:t>
            </w:r>
          </w:p>
        </w:tc>
        <w:tc>
          <w:tcPr>
            <w:tcW w:w="1600" w:type="dxa"/>
            <w:vAlign w:val="bottom"/>
            <w:tcBorders>
              <w:bottom w:val="single" w:sz="8" w:color="CFF0FC"/>
            </w:tcBorders>
            <w:gridSpan w:val="3"/>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-24765</wp:posOffset>
            </wp:positionV>
            <wp:extent cx="9461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-7620</wp:posOffset>
            </wp:positionV>
            <wp:extent cx="9461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-24765</wp:posOffset>
            </wp:positionV>
            <wp:extent cx="6858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-7620</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-24765</wp:posOffset>
            </wp:positionV>
            <wp:extent cx="9398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-7620</wp:posOffset>
            </wp:positionV>
            <wp:extent cx="939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6858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685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Segment net sales as a percentage of</w:t>
            </w:r>
          </w:p>
        </w:tc>
        <w:tc>
          <w:tcPr>
            <w:tcW w:w="294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62"/>
        </w:trPr>
        <w:tc>
          <w:tcPr>
            <w:tcW w:w="3700" w:type="dxa"/>
            <w:vAlign w:val="bottom"/>
          </w:tcPr>
          <w:p>
            <w:pPr>
              <w:ind w:left="80"/>
              <w:spacing w:after="0"/>
              <w:rPr>
                <w:sz w:val="20"/>
                <w:szCs w:val="20"/>
                <w:color w:val="auto"/>
              </w:rPr>
            </w:pPr>
            <w:r>
              <w:rPr>
                <w:rFonts w:ascii="Arial" w:cs="Arial" w:eastAsia="Arial" w:hAnsi="Arial"/>
                <w:sz w:val="14"/>
                <w:szCs w:val="14"/>
                <w:color w:val="auto"/>
              </w:rPr>
              <w:t>consolidated amounts</w:t>
            </w:r>
          </w:p>
        </w:tc>
        <w:tc>
          <w:tcPr>
            <w:tcW w:w="2940" w:type="dxa"/>
            <w:vAlign w:val="bottom"/>
          </w:tcPr>
          <w:p>
            <w:pPr>
              <w:jc w:val="right"/>
              <w:ind w:right="1168"/>
              <w:spacing w:after="0"/>
              <w:rPr>
                <w:sz w:val="20"/>
                <w:szCs w:val="20"/>
                <w:color w:val="auto"/>
              </w:rPr>
            </w:pPr>
            <w:r>
              <w:rPr>
                <w:rFonts w:ascii="Arial" w:cs="Arial" w:eastAsia="Arial" w:hAnsi="Arial"/>
                <w:sz w:val="14"/>
                <w:szCs w:val="14"/>
                <w:color w:val="auto"/>
              </w:rPr>
              <w:t>16.8%</w:t>
            </w:r>
          </w:p>
        </w:tc>
        <w:tc>
          <w:tcPr>
            <w:tcW w:w="1660" w:type="dxa"/>
            <w:vAlign w:val="bottom"/>
          </w:tcPr>
          <w:p>
            <w:pPr>
              <w:jc w:val="right"/>
              <w:spacing w:after="0"/>
              <w:rPr>
                <w:sz w:val="20"/>
                <w:szCs w:val="20"/>
                <w:color w:val="auto"/>
              </w:rPr>
            </w:pPr>
            <w:r>
              <w:rPr>
                <w:rFonts w:ascii="Arial" w:cs="Arial" w:eastAsia="Arial" w:hAnsi="Arial"/>
                <w:sz w:val="14"/>
                <w:szCs w:val="14"/>
                <w:color w:val="auto"/>
              </w:rPr>
              <w:t>18.5%</w:t>
            </w: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Segment Profit as a percentage of</w:t>
            </w:r>
          </w:p>
        </w:tc>
        <w:tc>
          <w:tcPr>
            <w:tcW w:w="294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90"/>
        </w:trPr>
        <w:tc>
          <w:tcPr>
            <w:tcW w:w="3700" w:type="dxa"/>
            <w:vAlign w:val="bottom"/>
          </w:tcPr>
          <w:p>
            <w:pPr>
              <w:ind w:left="80"/>
              <w:spacing w:after="0"/>
              <w:rPr>
                <w:sz w:val="20"/>
                <w:szCs w:val="20"/>
                <w:color w:val="auto"/>
              </w:rPr>
            </w:pPr>
            <w:r>
              <w:rPr>
                <w:rFonts w:ascii="Arial" w:cs="Arial" w:eastAsia="Arial" w:hAnsi="Arial"/>
                <w:sz w:val="14"/>
                <w:szCs w:val="14"/>
                <w:color w:val="auto"/>
              </w:rPr>
              <w:t>consolidated amounts</w:t>
            </w:r>
          </w:p>
        </w:tc>
        <w:tc>
          <w:tcPr>
            <w:tcW w:w="2940" w:type="dxa"/>
            <w:vAlign w:val="bottom"/>
          </w:tcPr>
          <w:p>
            <w:pPr>
              <w:jc w:val="right"/>
              <w:ind w:right="1168"/>
              <w:spacing w:after="0"/>
              <w:rPr>
                <w:sz w:val="20"/>
                <w:szCs w:val="20"/>
                <w:color w:val="auto"/>
              </w:rPr>
            </w:pPr>
            <w:r>
              <w:rPr>
                <w:rFonts w:ascii="Arial" w:cs="Arial" w:eastAsia="Arial" w:hAnsi="Arial"/>
                <w:sz w:val="14"/>
                <w:szCs w:val="14"/>
                <w:color w:val="auto"/>
              </w:rPr>
              <w:t>24.5%</w:t>
            </w:r>
          </w:p>
        </w:tc>
        <w:tc>
          <w:tcPr>
            <w:tcW w:w="1660" w:type="dxa"/>
            <w:vAlign w:val="bottom"/>
          </w:tcPr>
          <w:p>
            <w:pPr>
              <w:jc w:val="right"/>
              <w:spacing w:after="0"/>
              <w:rPr>
                <w:sz w:val="20"/>
                <w:szCs w:val="20"/>
                <w:color w:val="auto"/>
              </w:rPr>
            </w:pPr>
            <w:r>
              <w:rPr>
                <w:rFonts w:ascii="Arial" w:cs="Arial" w:eastAsia="Arial" w:hAnsi="Arial"/>
                <w:sz w:val="14"/>
                <w:szCs w:val="14"/>
                <w:color w:val="auto"/>
              </w:rPr>
              <w:t>35.3%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20574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The change in net sales for the Asia Segment was as follows: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Net sales for the prior nine-month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0287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Decrease in sales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0287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Change in average selling price and sales mix</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Favorable foreign currency translation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2890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Net sales for the current nine-month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780" w:type="dxa"/>
            <w:vAlign w:val="bottom"/>
          </w:tcPr>
          <w:p>
            <w:pPr>
              <w:jc w:val="right"/>
              <w:ind w:right="628"/>
              <w:spacing w:after="0"/>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ind w:right="20"/>
              <w:spacing w:after="0"/>
              <w:rPr>
                <w:sz w:val="20"/>
                <w:szCs w:val="20"/>
                <w:color w:val="auto"/>
              </w:rPr>
            </w:pPr>
            <w:r>
              <w:rPr>
                <w:rFonts w:ascii="Arial" w:cs="Arial" w:eastAsia="Arial" w:hAnsi="Arial"/>
                <w:sz w:val="14"/>
                <w:szCs w:val="14"/>
                <w:color w:val="auto"/>
              </w:rPr>
              <w:t>79,971</w:t>
            </w:r>
          </w:p>
        </w:tc>
        <w:tc>
          <w:tcPr>
            <w:tcW w:w="20" w:type="dxa"/>
            <w:vAlign w:val="bottom"/>
          </w:tcPr>
          <w:p>
            <w:pPr>
              <w:spacing w:after="0"/>
              <w:rPr>
                <w:sz w:val="14"/>
                <w:szCs w:val="14"/>
                <w:color w:val="auto"/>
              </w:rPr>
            </w:pPr>
          </w:p>
        </w:tc>
      </w:tr>
      <w:tr>
        <w:trPr>
          <w:trHeight w:val="162"/>
        </w:trPr>
        <w:tc>
          <w:tcPr>
            <w:tcW w:w="780" w:type="dxa"/>
            <w:vAlign w:val="bottom"/>
          </w:tcPr>
          <w:p>
            <w:pPr>
              <w:spacing w:after="0"/>
              <w:rPr>
                <w:sz w:val="14"/>
                <w:szCs w:val="14"/>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color w:val="auto"/>
              </w:rPr>
              <w:t>(13,970)</w:t>
            </w:r>
          </w:p>
        </w:tc>
      </w:tr>
      <w:tr>
        <w:trPr>
          <w:trHeight w:val="162"/>
        </w:trPr>
        <w:tc>
          <w:tcPr>
            <w:tcW w:w="780" w:type="dxa"/>
            <w:vAlign w:val="bottom"/>
          </w:tcPr>
          <w:p>
            <w:pPr>
              <w:spacing w:after="0"/>
              <w:rPr>
                <w:sz w:val="14"/>
                <w:szCs w:val="14"/>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color w:val="auto"/>
              </w:rPr>
              <w:t>(2,501)</w:t>
            </w:r>
          </w:p>
        </w:tc>
      </w:tr>
      <w:tr>
        <w:trPr>
          <w:trHeight w:val="171"/>
        </w:trPr>
        <w:tc>
          <w:tcPr>
            <w:tcW w:w="7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1,606</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780" w:type="dxa"/>
            <w:vAlign w:val="bottom"/>
            <w:tcBorders>
              <w:bottom w:val="single" w:sz="8" w:color="auto"/>
            </w:tcBorders>
          </w:tcPr>
          <w:p>
            <w:pPr>
              <w:jc w:val="right"/>
              <w:ind w:right="62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65,106</w:t>
            </w:r>
          </w:p>
        </w:tc>
        <w:tc>
          <w:tcPr>
            <w:tcW w:w="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7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420" w:space="720"/>
            <w:col w:w="2100"/>
          </w:cols>
          <w:pgMar w:left="320" w:top="1210" w:right="339" w:bottom="1440" w:gutter="0" w:footer="0" w:header="0"/>
          <w:type w:val="continuous"/>
        </w:sectPr>
      </w:pPr>
    </w:p>
    <w:p>
      <w:pPr>
        <w:spacing w:after="0" w:line="7"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The decrease in net sales for the Asia Segment from the prior nine-month period to current nine-month period was primarily attributable to (i) an overall decrease in sales volumes due to competitive pricing pressures and the continued volatility stemming from geopolitical events and tariffs and (ii) a change in sales mix of REPREVE products, partially offset by favorable foreign currency translation effects from the strengthening of the RMB versus the USD.</w:t>
      </w:r>
    </w:p>
    <w:p>
      <w:pPr>
        <w:sectPr>
          <w:pgSz w:w="11900" w:h="16838" w:orient="portrait"/>
          <w:cols w:equalWidth="0" w:num="1">
            <w:col w:w="11240"/>
          </w:cols>
          <w:pgMar w:left="320" w:top="1210" w:right="339"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color w:val="auto"/>
        </w:rPr>
        <w:t>The change in Segment Profit for the Asia Segment was as follows: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Segment Profit for the prior nine-month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0287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Decrease in sales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0287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Change in underlying unit margins and sales mix</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Favorable foreign currency translation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2827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32320" cy="12827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Segment Profit for the current nine-month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jc w:val="right"/>
              <w:ind w:right="66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9,755</w:t>
            </w:r>
          </w:p>
        </w:tc>
        <w:tc>
          <w:tcPr>
            <w:tcW w:w="40" w:type="dxa"/>
            <w:vAlign w:val="bottom"/>
          </w:tcPr>
          <w:p>
            <w:pPr>
              <w:spacing w:after="0"/>
              <w:rPr>
                <w:sz w:val="14"/>
                <w:szCs w:val="14"/>
                <w:color w:val="auto"/>
              </w:rPr>
            </w:pPr>
          </w:p>
        </w:tc>
      </w:tr>
      <w:tr>
        <w:trPr>
          <w:trHeight w:val="162"/>
        </w:trPr>
        <w:tc>
          <w:tcPr>
            <w:tcW w:w="82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(1,711)</w:t>
            </w:r>
          </w:p>
        </w:tc>
      </w:tr>
      <w:tr>
        <w:trPr>
          <w:trHeight w:val="162"/>
        </w:trPr>
        <w:tc>
          <w:tcPr>
            <w:tcW w:w="82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(106)</w:t>
            </w:r>
          </w:p>
        </w:tc>
      </w:tr>
      <w:tr>
        <w:trPr>
          <w:trHeight w:val="171"/>
        </w:trPr>
        <w:tc>
          <w:tcPr>
            <w:tcW w:w="8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w:t>
            </w:r>
          </w:p>
        </w:tc>
        <w:tc>
          <w:tcPr>
            <w:tcW w:w="40" w:type="dxa"/>
            <w:vAlign w:val="bottom"/>
          </w:tcPr>
          <w:p>
            <w:pPr>
              <w:spacing w:after="0"/>
              <w:rPr>
                <w:sz w:val="14"/>
                <w:szCs w:val="14"/>
                <w:color w:val="auto"/>
              </w:rPr>
            </w:pPr>
          </w:p>
        </w:tc>
      </w:tr>
      <w:tr>
        <w:trPr>
          <w:trHeight w:val="156"/>
        </w:trPr>
        <w:tc>
          <w:tcPr>
            <w:tcW w:w="820" w:type="dxa"/>
            <w:vAlign w:val="bottom"/>
            <w:tcBorders>
              <w:bottom w:val="single" w:sz="8" w:color="auto"/>
            </w:tcBorders>
          </w:tcPr>
          <w:p>
            <w:pPr>
              <w:jc w:val="right"/>
              <w:ind w:right="668"/>
              <w:spacing w:after="0" w:line="155" w:lineRule="exact"/>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8,177</w:t>
            </w:r>
          </w:p>
        </w:tc>
        <w:tc>
          <w:tcPr>
            <w:tcW w:w="40" w:type="dxa"/>
            <w:vAlign w:val="bottom"/>
          </w:tcPr>
          <w:p>
            <w:pPr>
              <w:spacing w:after="0"/>
              <w:rPr>
                <w:sz w:val="13"/>
                <w:szCs w:val="13"/>
                <w:color w:val="auto"/>
              </w:rPr>
            </w:pPr>
          </w:p>
        </w:tc>
      </w:tr>
      <w:tr>
        <w:trPr>
          <w:trHeight w:val="20"/>
        </w:trPr>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420" w:space="720"/>
            <w:col w:w="2100"/>
          </w:cols>
          <w:pgMar w:left="320" w:top="1210" w:right="339" w:bottom="1440" w:gutter="0" w:footer="0" w:header="0"/>
          <w:type w:val="continuous"/>
        </w:sectPr>
      </w:pPr>
    </w:p>
    <w:p>
      <w:pPr>
        <w:spacing w:after="0" w:line="7" w:lineRule="exact"/>
        <w:rPr>
          <w:sz w:val="20"/>
          <w:szCs w:val="20"/>
          <w:color w:val="auto"/>
        </w:rPr>
      </w:pPr>
    </w:p>
    <w:p>
      <w:pPr>
        <w:ind w:right="20"/>
        <w:spacing w:after="0" w:line="285" w:lineRule="auto"/>
        <w:rPr>
          <w:sz w:val="20"/>
          <w:szCs w:val="20"/>
          <w:color w:val="auto"/>
        </w:rPr>
      </w:pPr>
      <w:r>
        <w:rPr>
          <w:rFonts w:ascii="Arial" w:cs="Arial" w:eastAsia="Arial" w:hAnsi="Arial"/>
          <w:sz w:val="14"/>
          <w:szCs w:val="14"/>
          <w:color w:val="auto"/>
        </w:rPr>
        <w:t>The decrease in Segment Profit for the Asia Segment from the prior nine-month period to the current nine-month period was primarily attributable to a decline in sales volumes as discussed above.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09"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Note 5, “Long-Term Debt” to the condensed consolidated financial statements includes the detail of UNIFI’s debt obligations and terms and conditions thereof. Further discussion and analysis of liquidity and capital resources follow.</w:t>
      </w:r>
    </w:p>
    <w:p>
      <w:pPr>
        <w:spacing w:after="0" w:line="158"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On October 25, 2024, UNIFI entered into a new credit agreement with Wells Fargo Bank, National Association for a $25,000 revolving credit facility (the “2024 Facility”). The maturity date of the 2024 Facility is the earlier of (i) October 28, 2027 and (ii) the termination or refinancing of the 2022 Credit Agreement. The 2024 Facility is deemed unsecured financing for UNIFI, but is collateralized by certain assets pledged by related party Kenneth G. Langone, one of the members of UNIFI's Board of Directors. Borrowings under the 2024 Facility bear interest at a rate of SOFR plus 0.90%. The 2024 Facility contains no additional financial covenants beyond those already in effect for the 2022 Credit Agreement and is subject to a monthly unused line fee of 0.25% on available borrowing capacity. In the third quarter of fiscal 2025, UNIFI borrowed $22,000 against the 2024 Facility and used the proceeds to reduce the outstanding ABL Revolver balance. There was no impact to debt principal from these transactions.</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UNIFI’s primary capital requirements are for working capital, capital expenditures, and debt service. UNIFI’s primary sources of capital are cash generated from operations and borrowings available under the 2022 Credit Agreement and the 2024 Facility. For the current nine-month period, cash provided by operations was $24,393 and, at March 29, 2026, availability under the ABL Revolver and 2024 Facility was $44,921 and $949, respectively.</w:t>
      </w:r>
    </w:p>
    <w:p>
      <w:pPr>
        <w:spacing w:after="0" w:line="173"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As of March 29, 2026, all of UNIFI’s $94,939 of debt obligations were guaranteed by certain of its domestic operating subsidiaries, while nearly all of UNIFI’s cash and cash equivalents were held by its foreign subsidiaries. Cash and cash equivalents held by foreign subsidiaries may not be presently available to fund UNIFI’s domestic capital requirements, including its domestic debt obligations. UNIFI employs a variety of strategies to ensure that its worldwide cash is available in the locations where it is needed.</w:t>
      </w:r>
    </w:p>
    <w:p>
      <w:pPr>
        <w:spacing w:after="0" w:line="173"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The following table presents a summary of cash and cash equivalents, borrowings available under financing arrangements, liquidity, working capital, and total debt obligations as of March 29, 2026 for domestic operations compared to foreign operations: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Domestic</w:t>
            </w:r>
          </w:p>
        </w:tc>
        <w:tc>
          <w:tcPr>
            <w:tcW w:w="5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Foreign</w:t>
            </w:r>
          </w:p>
        </w:tc>
        <w:tc>
          <w:tcPr>
            <w:tcW w:w="5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r>
      <w:tr>
        <w:trPr>
          <w:trHeight w:val="156"/>
        </w:trPr>
        <w:tc>
          <w:tcPr>
            <w:tcW w:w="47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Cash and cash equivalents</w:t>
            </w:r>
          </w:p>
        </w:tc>
        <w:tc>
          <w:tcPr>
            <w:tcW w:w="1980" w:type="dxa"/>
            <w:vAlign w:val="bottom"/>
            <w:gridSpan w:val="2"/>
            <w:shd w:val="clear" w:color="auto" w:fill="CFF0FC"/>
          </w:tcPr>
          <w:p>
            <w:pPr>
              <w:jc w:val="right"/>
              <w:ind w:right="988"/>
              <w:spacing w:after="0" w:line="155" w:lineRule="exact"/>
              <w:rPr>
                <w:sz w:val="20"/>
                <w:szCs w:val="20"/>
                <w:color w:val="auto"/>
              </w:rPr>
            </w:pPr>
            <w:r>
              <w:rPr>
                <w:rFonts w:ascii="Arial" w:cs="Arial" w:eastAsia="Arial" w:hAnsi="Arial"/>
                <w:sz w:val="14"/>
                <w:szCs w:val="14"/>
                <w:color w:val="auto"/>
              </w:rPr>
              <w:t>$</w:t>
            </w:r>
          </w:p>
        </w:tc>
        <w:tc>
          <w:tcPr>
            <w:tcW w:w="5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44</w:t>
            </w:r>
          </w:p>
        </w:tc>
        <w:tc>
          <w:tcPr>
            <w:tcW w:w="18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948"/>
              <w:spacing w:after="0" w:line="155" w:lineRule="exact"/>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26,517</w:t>
            </w:r>
          </w:p>
        </w:tc>
        <w:tc>
          <w:tcPr>
            <w:tcW w:w="660" w:type="dxa"/>
            <w:vAlign w:val="bottom"/>
            <w:gridSpan w:val="2"/>
            <w:shd w:val="clear" w:color="auto" w:fill="CFF0FC"/>
          </w:tcPr>
          <w:p>
            <w:pPr>
              <w:jc w:val="right"/>
              <w:ind w:right="280"/>
              <w:spacing w:after="0" w:line="155" w:lineRule="exact"/>
              <w:rPr>
                <w:sz w:val="20"/>
                <w:szCs w:val="20"/>
                <w:color w:val="auto"/>
              </w:rPr>
            </w:pPr>
            <w:r>
              <w:rPr>
                <w:rFonts w:ascii="Arial" w:cs="Arial" w:eastAsia="Arial" w:hAnsi="Arial"/>
                <w:sz w:val="14"/>
                <w:szCs w:val="14"/>
                <w:color w:val="auto"/>
              </w:rPr>
              <w:t>$</w:t>
            </w:r>
          </w:p>
        </w:tc>
        <w:tc>
          <w:tcPr>
            <w:tcW w:w="13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26,561</w:t>
            </w:r>
          </w:p>
        </w:tc>
        <w:tc>
          <w:tcPr>
            <w:tcW w:w="120" w:type="dxa"/>
            <w:vAlign w:val="bottom"/>
            <w:shd w:val="clear" w:color="auto" w:fill="CFF0FC"/>
          </w:tcPr>
          <w:p>
            <w:pPr>
              <w:spacing w:after="0"/>
              <w:rPr>
                <w:sz w:val="13"/>
                <w:szCs w:val="13"/>
                <w:color w:val="auto"/>
              </w:rPr>
            </w:pPr>
          </w:p>
        </w:tc>
      </w:tr>
      <w:tr>
        <w:trPr>
          <w:trHeight w:val="162"/>
        </w:trPr>
        <w:tc>
          <w:tcPr>
            <w:tcW w:w="4720" w:type="dxa"/>
            <w:vAlign w:val="bottom"/>
          </w:tcPr>
          <w:p>
            <w:pPr>
              <w:spacing w:after="0"/>
              <w:rPr>
                <w:sz w:val="20"/>
                <w:szCs w:val="20"/>
                <w:color w:val="auto"/>
              </w:rPr>
            </w:pPr>
            <w:r>
              <w:rPr>
                <w:rFonts w:ascii="Arial" w:cs="Arial" w:eastAsia="Arial" w:hAnsi="Arial"/>
                <w:sz w:val="14"/>
                <w:szCs w:val="14"/>
                <w:color w:val="auto"/>
              </w:rPr>
              <w:t>Potential borrowings available under financing arrangements</w:t>
            </w: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45,870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45,870</w:t>
            </w:r>
          </w:p>
        </w:tc>
        <w:tc>
          <w:tcPr>
            <w:tcW w:w="120" w:type="dxa"/>
            <w:vAlign w:val="bottom"/>
          </w:tcPr>
          <w:p>
            <w:pPr>
              <w:spacing w:after="0"/>
              <w:rPr>
                <w:sz w:val="14"/>
                <w:szCs w:val="14"/>
                <w:color w:val="auto"/>
              </w:rPr>
            </w:pPr>
          </w:p>
        </w:tc>
      </w:tr>
      <w:tr>
        <w:trPr>
          <w:trHeight w:val="162"/>
        </w:trPr>
        <w:tc>
          <w:tcPr>
            <w:tcW w:w="4720" w:type="dxa"/>
            <w:vAlign w:val="bottom"/>
            <w:shd w:val="clear" w:color="auto" w:fill="CFF0FC"/>
          </w:tcPr>
          <w:p>
            <w:pPr>
              <w:spacing w:after="0"/>
              <w:rPr>
                <w:sz w:val="20"/>
                <w:szCs w:val="20"/>
                <w:color w:val="auto"/>
              </w:rPr>
            </w:pPr>
            <w:r>
              <w:rPr>
                <w:rFonts w:ascii="Arial" w:cs="Arial" w:eastAsia="Arial" w:hAnsi="Arial"/>
                <w:sz w:val="14"/>
                <w:szCs w:val="14"/>
                <w:color w:val="auto"/>
              </w:rPr>
              <w:t>Trigger level under ABL Revolver</w:t>
            </w:r>
          </w:p>
        </w:tc>
        <w:tc>
          <w:tcPr>
            <w:tcW w:w="84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(16,500)</w:t>
            </w: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(16,500)</w:t>
            </w:r>
          </w:p>
        </w:tc>
      </w:tr>
      <w:tr>
        <w:trPr>
          <w:trHeight w:val="20"/>
        </w:trPr>
        <w:tc>
          <w:tcPr>
            <w:tcW w:w="472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55"/>
        </w:trPr>
        <w:tc>
          <w:tcPr>
            <w:tcW w:w="4720" w:type="dxa"/>
            <w:vAlign w:val="bottom"/>
          </w:tcPr>
          <w:p>
            <w:pPr>
              <w:spacing w:after="0" w:line="155" w:lineRule="exact"/>
              <w:rPr>
                <w:sz w:val="20"/>
                <w:szCs w:val="20"/>
                <w:color w:val="auto"/>
              </w:rPr>
            </w:pPr>
            <w:r>
              <w:rPr>
                <w:rFonts w:ascii="Arial" w:cs="Arial" w:eastAsia="Arial" w:hAnsi="Arial"/>
                <w:sz w:val="14"/>
                <w:szCs w:val="14"/>
                <w:color w:val="auto"/>
              </w:rPr>
              <w:t>Available Liquidity</w:t>
            </w:r>
          </w:p>
        </w:tc>
        <w:tc>
          <w:tcPr>
            <w:tcW w:w="1980" w:type="dxa"/>
            <w:vAlign w:val="bottom"/>
            <w:gridSpan w:val="2"/>
          </w:tcPr>
          <w:p>
            <w:pPr>
              <w:jc w:val="right"/>
              <w:ind w:right="988"/>
              <w:spacing w:after="0" w:line="155"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29,414</w:t>
            </w:r>
          </w:p>
        </w:tc>
        <w:tc>
          <w:tcPr>
            <w:tcW w:w="180" w:type="dxa"/>
            <w:vAlign w:val="bottom"/>
          </w:tcPr>
          <w:p>
            <w:pPr>
              <w:spacing w:after="0"/>
              <w:rPr>
                <w:sz w:val="13"/>
                <w:szCs w:val="13"/>
                <w:color w:val="auto"/>
              </w:rPr>
            </w:pPr>
          </w:p>
        </w:tc>
        <w:tc>
          <w:tcPr>
            <w:tcW w:w="1220" w:type="dxa"/>
            <w:vAlign w:val="bottom"/>
            <w:gridSpan w:val="2"/>
          </w:tcPr>
          <w:p>
            <w:pPr>
              <w:jc w:val="right"/>
              <w:ind w:right="948"/>
              <w:spacing w:after="0" w:line="155"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26,517</w:t>
            </w:r>
          </w:p>
        </w:tc>
        <w:tc>
          <w:tcPr>
            <w:tcW w:w="66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w:t>
            </w:r>
          </w:p>
        </w:tc>
        <w:tc>
          <w:tcPr>
            <w:tcW w:w="1300" w:type="dxa"/>
            <w:vAlign w:val="bottom"/>
          </w:tcPr>
          <w:p>
            <w:pPr>
              <w:jc w:val="right"/>
              <w:spacing w:after="0" w:line="155" w:lineRule="exact"/>
              <w:rPr>
                <w:sz w:val="20"/>
                <w:szCs w:val="20"/>
                <w:color w:val="auto"/>
              </w:rPr>
            </w:pPr>
            <w:r>
              <w:rPr>
                <w:rFonts w:ascii="Arial" w:cs="Arial" w:eastAsia="Arial" w:hAnsi="Arial"/>
                <w:sz w:val="14"/>
                <w:szCs w:val="14"/>
                <w:color w:val="auto"/>
              </w:rPr>
              <w:t>55,931</w:t>
            </w:r>
          </w:p>
        </w:tc>
        <w:tc>
          <w:tcPr>
            <w:tcW w:w="120" w:type="dxa"/>
            <w:vAlign w:val="bottom"/>
          </w:tcPr>
          <w:p>
            <w:pPr>
              <w:spacing w:after="0"/>
              <w:rPr>
                <w:sz w:val="13"/>
                <w:szCs w:val="13"/>
                <w:color w:val="auto"/>
              </w:rPr>
            </w:pPr>
          </w:p>
        </w:tc>
      </w:tr>
      <w:tr>
        <w:trPr>
          <w:trHeight w:val="20"/>
        </w:trPr>
        <w:tc>
          <w:tcPr>
            <w:tcW w:w="4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3"/>
        </w:trPr>
        <w:tc>
          <w:tcPr>
            <w:tcW w:w="47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2"/>
        </w:trPr>
        <w:tc>
          <w:tcPr>
            <w:tcW w:w="4720" w:type="dxa"/>
            <w:vAlign w:val="bottom"/>
          </w:tcPr>
          <w:p>
            <w:pPr>
              <w:spacing w:after="0"/>
              <w:rPr>
                <w:sz w:val="20"/>
                <w:szCs w:val="20"/>
                <w:color w:val="auto"/>
              </w:rPr>
            </w:pPr>
            <w:r>
              <w:rPr>
                <w:rFonts w:ascii="Arial" w:cs="Arial" w:eastAsia="Arial" w:hAnsi="Arial"/>
                <w:sz w:val="14"/>
                <w:szCs w:val="14"/>
                <w:color w:val="auto"/>
              </w:rPr>
              <w:t>Working capital</w:t>
            </w:r>
          </w:p>
        </w:tc>
        <w:tc>
          <w:tcPr>
            <w:tcW w:w="1980" w:type="dxa"/>
            <w:vAlign w:val="bottom"/>
            <w:gridSpan w:val="2"/>
          </w:tcPr>
          <w:p>
            <w:pPr>
              <w:jc w:val="right"/>
              <w:ind w:right="98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42,651</w:t>
            </w:r>
          </w:p>
        </w:tc>
        <w:tc>
          <w:tcPr>
            <w:tcW w:w="180" w:type="dxa"/>
            <w:vAlign w:val="bottom"/>
          </w:tcPr>
          <w:p>
            <w:pPr>
              <w:spacing w:after="0"/>
              <w:rPr>
                <w:sz w:val="14"/>
                <w:szCs w:val="14"/>
                <w:color w:val="auto"/>
              </w:rPr>
            </w:pPr>
          </w:p>
        </w:tc>
        <w:tc>
          <w:tcPr>
            <w:tcW w:w="1220" w:type="dxa"/>
            <w:vAlign w:val="bottom"/>
            <w:gridSpan w:val="2"/>
          </w:tcPr>
          <w:p>
            <w:pPr>
              <w:jc w:val="right"/>
              <w:ind w:right="94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101,671</w:t>
            </w:r>
          </w:p>
        </w:tc>
        <w:tc>
          <w:tcPr>
            <w:tcW w:w="6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144,322</w:t>
            </w:r>
          </w:p>
        </w:tc>
        <w:tc>
          <w:tcPr>
            <w:tcW w:w="120" w:type="dxa"/>
            <w:vAlign w:val="bottom"/>
          </w:tcPr>
          <w:p>
            <w:pPr>
              <w:spacing w:after="0"/>
              <w:rPr>
                <w:sz w:val="14"/>
                <w:szCs w:val="14"/>
                <w:color w:val="auto"/>
              </w:rPr>
            </w:pPr>
          </w:p>
        </w:tc>
      </w:tr>
      <w:tr>
        <w:trPr>
          <w:trHeight w:val="162"/>
        </w:trPr>
        <w:tc>
          <w:tcPr>
            <w:tcW w:w="4720" w:type="dxa"/>
            <w:vAlign w:val="bottom"/>
            <w:shd w:val="clear" w:color="auto" w:fill="CFF0FC"/>
          </w:tcPr>
          <w:p>
            <w:pPr>
              <w:spacing w:after="0"/>
              <w:rPr>
                <w:sz w:val="20"/>
                <w:szCs w:val="20"/>
                <w:color w:val="auto"/>
              </w:rPr>
            </w:pPr>
            <w:r>
              <w:rPr>
                <w:rFonts w:ascii="Arial" w:cs="Arial" w:eastAsia="Arial" w:hAnsi="Arial"/>
                <w:sz w:val="14"/>
                <w:szCs w:val="14"/>
                <w:color w:val="auto"/>
              </w:rPr>
              <w:t>Total debt obligations</w:t>
            </w:r>
          </w:p>
        </w:tc>
        <w:tc>
          <w:tcPr>
            <w:tcW w:w="1980" w:type="dxa"/>
            <w:vAlign w:val="bottom"/>
            <w:gridSpan w:val="2"/>
            <w:shd w:val="clear" w:color="auto" w:fill="CFF0FC"/>
          </w:tcPr>
          <w:p>
            <w:pPr>
              <w:jc w:val="right"/>
              <w:ind w:right="988"/>
              <w:spacing w:after="0"/>
              <w:rPr>
                <w:sz w:val="20"/>
                <w:szCs w:val="20"/>
                <w:color w:val="auto"/>
              </w:rPr>
            </w:pPr>
            <w:r>
              <w:rPr>
                <w:rFonts w:ascii="Arial" w:cs="Arial" w:eastAsia="Arial" w:hAnsi="Arial"/>
                <w:sz w:val="14"/>
                <w:szCs w:val="14"/>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94,939</w:t>
            </w:r>
          </w:p>
        </w:tc>
        <w:tc>
          <w:tcPr>
            <w:tcW w:w="1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948"/>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94,939</w:t>
            </w:r>
          </w:p>
        </w:tc>
        <w:tc>
          <w:tcPr>
            <w:tcW w:w="120" w:type="dxa"/>
            <w:vAlign w:val="bottom"/>
            <w:shd w:val="clear" w:color="auto" w:fill="CFF0FC"/>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-445135</wp:posOffset>
            </wp:positionV>
            <wp:extent cx="685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-445135</wp:posOffset>
            </wp:positionV>
            <wp:extent cx="685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-445135</wp:posOffset>
            </wp:positionV>
            <wp:extent cx="7747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87"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Borrowings available under financing arrangements are generally collateralized by receivables and inventory owned in the U.S., plus cash equivalents pledged by Mr. Langone, and generally constrained by the fixed charge coverage ratio and trigger level prescribed in the 2022 Credit Agreement. Accordingly, “Available Liquidity” includes consideration for the trigger level that currently constrains our borrowing ability until a fixed charge coverage ratio of 1.05 to 1.00 is achieved. UNIFI’s primary cash requirements, in addition to normal course operating activities (e.g., working capital and payroll), primarily include (i) capital expenditures that generally have commitments of up to 12 months, (ii) contractual obligations that support normal course ongoing operations and production, (iii) operating leases and finance leases, (iv) debt service, and (v) share repurchases.</w:t>
      </w:r>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Liquidity Considerations</w:t>
      </w:r>
    </w:p>
    <w:p>
      <w:pPr>
        <w:spacing w:after="0" w:line="107"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Following the establishment of the 2024 Facility, UNIFI believes its global cash and liquidity positions are sufficient to sustain its operations and to meet its growth needs for the foreseeable future. Additionally, UNIFI considers opportunities to repatriate existing cash to reduce debt and preserve or enhance liquidity. However, further degradation in the macroeconomic environment could introduce additional liquidity risk and require UNIFI to limit cash outflows for discretionary activities while further utilizing available and additional forms of credit.</w:t>
      </w:r>
    </w:p>
    <w:p>
      <w:pPr>
        <w:spacing w:after="0" w:line="177"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We feel that our current liquidity position, particularly following the two quarters ended December 28, 2025 and March 29, 2026 in which we generated cash from operating activities, is sufficient to fund our operations and expected business growth. Should global demand, economic activity, or input availability decline considerably for an even longer period of time, UNIFI maintains the ability to (i) seek additional credit or financing arrangements and/or (ii) re-implement cost reduction initiatives to preserve cash and secure the longevity of the business and operations. Management continues to (i) explore cost savings opportunities and (ii) prioritize repayment of debt in the current operating environment.</w:t>
      </w:r>
    </w:p>
    <w:p>
      <w:pPr>
        <w:spacing w:after="0" w:line="347" w:lineRule="exact"/>
        <w:rPr>
          <w:sz w:val="20"/>
          <w:szCs w:val="20"/>
          <w:color w:val="auto"/>
        </w:rPr>
      </w:pPr>
    </w:p>
    <w:p>
      <w:pPr>
        <w:spacing w:after="0"/>
        <w:rPr>
          <w:sz w:val="20"/>
          <w:szCs w:val="20"/>
          <w:color w:val="auto"/>
        </w:rPr>
      </w:pPr>
      <w:r>
        <w:rPr>
          <w:rFonts w:ascii="Arial" w:cs="Arial" w:eastAsia="Arial" w:hAnsi="Arial"/>
          <w:sz w:val="14"/>
          <w:szCs w:val="14"/>
          <w:color w:val="auto"/>
        </w:rPr>
        <w:t>When business levels increase, we expect to use cash in support of working capital needs.</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The following outlines the attributes relating to our credit facilities as of March 29, 2026:</w:t>
      </w:r>
    </w:p>
    <w:p>
      <w:pPr>
        <w:spacing w:after="0" w:line="109" w:lineRule="exact"/>
        <w:rPr>
          <w:sz w:val="20"/>
          <w:szCs w:val="20"/>
          <w:color w:val="auto"/>
        </w:rPr>
      </w:pPr>
    </w:p>
    <w:p>
      <w:pPr>
        <w:ind w:left="380" w:hanging="372"/>
        <w:spacing w:after="0"/>
        <w:tabs>
          <w:tab w:leader="none" w:pos="380" w:val="left"/>
        </w:tabs>
        <w:numPr>
          <w:ilvl w:val="0"/>
          <w:numId w:val="17"/>
        </w:numPr>
        <w:rPr>
          <w:rFonts w:ascii="Times New Roman" w:cs="Times New Roman" w:eastAsia="Times New Roman" w:hAnsi="Times New Roman"/>
          <w:sz w:val="14"/>
          <w:szCs w:val="14"/>
          <w:color w:val="auto"/>
        </w:rPr>
      </w:pPr>
      <w:r>
        <w:rPr>
          <w:rFonts w:ascii="Arial" w:cs="Arial" w:eastAsia="Arial" w:hAnsi="Arial"/>
          <w:sz w:val="14"/>
          <w:szCs w:val="14"/>
          <w:color w:val="auto"/>
        </w:rPr>
        <w:t>UNIFI was in compliance with all applicable financial covenants in the 2022 Credit Agreement and 2024 Facility;</w:t>
      </w:r>
    </w:p>
    <w:p>
      <w:pPr>
        <w:spacing w:after="0" w:line="14"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17"/>
        </w:numPr>
        <w:rPr>
          <w:rFonts w:ascii="Times New Roman" w:cs="Times New Roman" w:eastAsia="Times New Roman" w:hAnsi="Times New Roman"/>
          <w:sz w:val="14"/>
          <w:szCs w:val="14"/>
          <w:color w:val="auto"/>
        </w:rPr>
      </w:pPr>
      <w:r>
        <w:rPr>
          <w:rFonts w:ascii="Arial" w:cs="Arial" w:eastAsia="Arial" w:hAnsi="Arial"/>
          <w:sz w:val="14"/>
          <w:szCs w:val="14"/>
          <w:color w:val="auto"/>
        </w:rPr>
        <w:t>availability under the 2024 Facility was $949 as of March 29, 2026;</w:t>
      </w:r>
    </w:p>
    <w:p>
      <w:pPr>
        <w:ind w:left="380" w:hanging="372"/>
        <w:spacing w:after="0"/>
        <w:tabs>
          <w:tab w:leader="none" w:pos="380" w:val="left"/>
        </w:tabs>
        <w:numPr>
          <w:ilvl w:val="0"/>
          <w:numId w:val="17"/>
        </w:numPr>
        <w:rPr>
          <w:rFonts w:ascii="Times New Roman" w:cs="Times New Roman" w:eastAsia="Times New Roman" w:hAnsi="Times New Roman"/>
          <w:sz w:val="14"/>
          <w:szCs w:val="14"/>
          <w:color w:val="auto"/>
        </w:rPr>
      </w:pPr>
      <w:r>
        <w:rPr>
          <w:rFonts w:ascii="Arial" w:cs="Arial" w:eastAsia="Arial" w:hAnsi="Arial"/>
          <w:sz w:val="14"/>
          <w:szCs w:val="14"/>
          <w:color w:val="auto"/>
        </w:rPr>
        <w:t>availability exceeding the Trigger Level (as defined in the 2022 Credit Agreement) under the ABL Revolver was $28,421;</w:t>
      </w:r>
    </w:p>
    <w:p>
      <w:pPr>
        <w:ind w:left="380" w:hanging="372"/>
        <w:spacing w:after="0"/>
        <w:tabs>
          <w:tab w:leader="none" w:pos="380" w:val="left"/>
        </w:tabs>
        <w:numPr>
          <w:ilvl w:val="0"/>
          <w:numId w:val="17"/>
        </w:numPr>
        <w:rPr>
          <w:rFonts w:ascii="Times New Roman" w:cs="Times New Roman" w:eastAsia="Times New Roman" w:hAnsi="Times New Roman"/>
          <w:sz w:val="14"/>
          <w:szCs w:val="14"/>
          <w:color w:val="auto"/>
        </w:rPr>
      </w:pPr>
      <w:r>
        <w:rPr>
          <w:rFonts w:ascii="Arial" w:cs="Arial" w:eastAsia="Arial" w:hAnsi="Arial"/>
          <w:sz w:val="14"/>
          <w:szCs w:val="14"/>
          <w:color w:val="auto"/>
        </w:rPr>
        <w:t>the Trigger Level under the ABL Revolver was $16,500; and</w:t>
      </w:r>
    </w:p>
    <w:p>
      <w:pPr>
        <w:ind w:left="380" w:hanging="372"/>
        <w:spacing w:after="0"/>
        <w:tabs>
          <w:tab w:leader="none" w:pos="380" w:val="left"/>
        </w:tabs>
        <w:numPr>
          <w:ilvl w:val="0"/>
          <w:numId w:val="17"/>
        </w:numPr>
        <w:rPr>
          <w:rFonts w:ascii="Times New Roman" w:cs="Times New Roman" w:eastAsia="Times New Roman" w:hAnsi="Times New Roman"/>
          <w:sz w:val="14"/>
          <w:szCs w:val="14"/>
          <w:color w:val="auto"/>
        </w:rPr>
      </w:pPr>
      <w:r>
        <w:rPr>
          <w:rFonts w:ascii="Arial" w:cs="Arial" w:eastAsia="Arial" w:hAnsi="Arial"/>
          <w:sz w:val="14"/>
          <w:szCs w:val="14"/>
          <w:color w:val="auto"/>
        </w:rPr>
        <w:t>$0 of standby letters of credit were outstanding.</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In addition to making payments in accordance with the scheduled maturities of debt required under its existing debt obligations, UNIFI may, from time to time, elect to repay additional amounts borrowed under the ABL Facility. Funds to make such repayments may come from the operating cash flows of the business or other sources and will depend upon UNIFI’s strategy, prevailing market conditions, liquidity requirements, contractual restrictions within the 2022 Credit Agreement, and other factors.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8"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b w:val="1"/>
          <w:bCs w:val="1"/>
          <w:i w:val="1"/>
          <w:iCs w:val="1"/>
          <w:color w:val="auto"/>
        </w:rPr>
        <w:t>Liquidity Summary</w:t>
      </w:r>
    </w:p>
    <w:p>
      <w:pPr>
        <w:spacing w:after="0" w:line="107"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UNIFI has met its historical liquidity requirements for working capital, capital expenditures, debt service requirements, and other operating needs from its cash flows from operations and available borrowings. UNIFI believes that its existing cash balances, expected cash provided by operating activities, and credit facilities will enable UNIFI to meet its foreseeable liquidity requirements. For its foreign operations, UNIFI expects its existing cash balances, cash provided by operating activities, and available financing arrangements will provide the needed liquidity to fund the associated operating activities and investing activities, such as future capital expenditures. UNIFI believes its operations in Asia and Brazil are in a position to obtain local country financing arrangements due to the operating results of each subsidiary.</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320" w:type="dxa"/>
            <w:vAlign w:val="bottom"/>
          </w:tcPr>
          <w:p>
            <w:pPr>
              <w:spacing w:after="0"/>
              <w:rPr>
                <w:sz w:val="20"/>
                <w:szCs w:val="20"/>
                <w:color w:val="auto"/>
              </w:rPr>
            </w:pPr>
            <w:r>
              <w:rPr>
                <w:rFonts w:ascii="Arial" w:cs="Arial" w:eastAsia="Arial" w:hAnsi="Arial"/>
                <w:sz w:val="14"/>
                <w:szCs w:val="14"/>
                <w:i w:val="1"/>
                <w:iCs w:val="1"/>
                <w:color w:val="auto"/>
              </w:rPr>
              <w:t>Net Debt (Non-GAAP Financial Measure)</w:t>
            </w: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70"/>
        </w:trPr>
        <w:tc>
          <w:tcPr>
            <w:tcW w:w="7320" w:type="dxa"/>
            <w:vAlign w:val="bottom"/>
          </w:tcPr>
          <w:p>
            <w:pPr>
              <w:spacing w:after="0"/>
              <w:rPr>
                <w:sz w:val="20"/>
                <w:szCs w:val="20"/>
                <w:color w:val="auto"/>
              </w:rPr>
            </w:pPr>
            <w:r>
              <w:rPr>
                <w:rFonts w:ascii="Arial" w:cs="Arial" w:eastAsia="Arial" w:hAnsi="Arial"/>
                <w:sz w:val="14"/>
                <w:szCs w:val="14"/>
                <w:color w:val="auto"/>
              </w:rPr>
              <w:t>The reconciliations for Net Debt are as follows:</w:t>
            </w:r>
          </w:p>
        </w:tc>
        <w:tc>
          <w:tcPr>
            <w:tcW w:w="2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1"/>
        </w:trPr>
        <w:tc>
          <w:tcPr>
            <w:tcW w:w="73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March 29, 2026</w:t>
            </w:r>
          </w:p>
        </w:tc>
        <w:tc>
          <w:tcPr>
            <w:tcW w:w="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June 29, 2025</w:t>
            </w:r>
          </w:p>
        </w:tc>
        <w:tc>
          <w:tcPr>
            <w:tcW w:w="100" w:type="dxa"/>
            <w:vAlign w:val="bottom"/>
          </w:tcPr>
          <w:p>
            <w:pPr>
              <w:spacing w:after="0"/>
              <w:rPr>
                <w:sz w:val="21"/>
                <w:szCs w:val="21"/>
                <w:color w:val="auto"/>
              </w:rPr>
            </w:pPr>
          </w:p>
        </w:tc>
      </w:tr>
      <w:tr>
        <w:trPr>
          <w:trHeight w:val="156"/>
        </w:trPr>
        <w:tc>
          <w:tcPr>
            <w:tcW w:w="73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Long-term debt</w:t>
            </w:r>
          </w:p>
        </w:tc>
        <w:tc>
          <w:tcPr>
            <w:tcW w:w="220" w:type="dxa"/>
            <w:vAlign w:val="bottom"/>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5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82,242</w:t>
            </w: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620" w:type="dxa"/>
            <w:vAlign w:val="bottom"/>
            <w:gridSpan w:val="2"/>
            <w:shd w:val="clear" w:color="auto" w:fill="CFF0FC"/>
          </w:tcPr>
          <w:p>
            <w:pPr>
              <w:jc w:val="right"/>
              <w:ind w:right="100"/>
              <w:spacing w:after="0" w:line="155" w:lineRule="exact"/>
              <w:rPr>
                <w:sz w:val="20"/>
                <w:szCs w:val="20"/>
                <w:color w:val="auto"/>
              </w:rPr>
            </w:pPr>
            <w:r>
              <w:rPr>
                <w:rFonts w:ascii="Arial" w:cs="Arial" w:eastAsia="Arial" w:hAnsi="Arial"/>
                <w:sz w:val="14"/>
                <w:szCs w:val="14"/>
                <w:color w:val="auto"/>
              </w:rPr>
              <w:t>95,727</w:t>
            </w:r>
          </w:p>
        </w:tc>
      </w:tr>
      <w:tr>
        <w:trPr>
          <w:trHeight w:val="162"/>
        </w:trPr>
        <w:tc>
          <w:tcPr>
            <w:tcW w:w="7320" w:type="dxa"/>
            <w:vAlign w:val="bottom"/>
          </w:tcPr>
          <w:p>
            <w:pPr>
              <w:spacing w:after="0"/>
              <w:rPr>
                <w:sz w:val="20"/>
                <w:szCs w:val="20"/>
                <w:color w:val="auto"/>
              </w:rPr>
            </w:pPr>
            <w:r>
              <w:rPr>
                <w:rFonts w:ascii="Arial" w:cs="Arial" w:eastAsia="Arial" w:hAnsi="Arial"/>
                <w:sz w:val="14"/>
                <w:szCs w:val="14"/>
                <w:color w:val="auto"/>
              </w:rPr>
              <w:t>Current portion of long-term debt</w:t>
            </w:r>
          </w:p>
        </w:tc>
        <w:tc>
          <w:tcPr>
            <w:tcW w:w="2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12,614</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4"/>
                <w:szCs w:val="14"/>
                <w:color w:val="auto"/>
              </w:rPr>
              <w:t>12,159</w:t>
            </w:r>
          </w:p>
        </w:tc>
      </w:tr>
      <w:tr>
        <w:trPr>
          <w:trHeight w:val="162"/>
        </w:trPr>
        <w:tc>
          <w:tcPr>
            <w:tcW w:w="7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Unamortized debt issuance costs</w:t>
            </w:r>
          </w:p>
        </w:tc>
        <w:tc>
          <w:tcPr>
            <w:tcW w:w="220" w:type="dxa"/>
            <w:vAlign w:val="bottom"/>
            <w:tcBorders>
              <w:bottom w:val="single" w:sz="8" w:color="auto"/>
            </w:tcBorders>
            <w:shd w:val="clear" w:color="auto" w:fill="CFF0FC"/>
          </w:tcPr>
          <w:p>
            <w:pPr>
              <w:spacing w:after="0"/>
              <w:rPr>
                <w:sz w:val="14"/>
                <w:szCs w:val="14"/>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83</w:t>
            </w:r>
          </w:p>
        </w:tc>
        <w:tc>
          <w:tcPr>
            <w:tcW w:w="28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122</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7320" w:type="dxa"/>
            <w:vAlign w:val="bottom"/>
          </w:tcPr>
          <w:p>
            <w:pPr>
              <w:spacing w:after="0" w:line="155" w:lineRule="exact"/>
              <w:rPr>
                <w:sz w:val="20"/>
                <w:szCs w:val="20"/>
                <w:color w:val="auto"/>
              </w:rPr>
            </w:pPr>
            <w:r>
              <w:rPr>
                <w:rFonts w:ascii="Arial" w:cs="Arial" w:eastAsia="Arial" w:hAnsi="Arial"/>
                <w:sz w:val="14"/>
                <w:szCs w:val="14"/>
                <w:color w:val="auto"/>
              </w:rPr>
              <w:t>Debt principal</w:t>
            </w:r>
          </w:p>
        </w:tc>
        <w:tc>
          <w:tcPr>
            <w:tcW w:w="220" w:type="dxa"/>
            <w:vAlign w:val="bottom"/>
          </w:tcPr>
          <w:p>
            <w:pPr>
              <w:spacing w:after="0"/>
              <w:rPr>
                <w:sz w:val="13"/>
                <w:szCs w:val="13"/>
                <w:color w:val="auto"/>
              </w:rPr>
            </w:pPr>
          </w:p>
        </w:tc>
        <w:tc>
          <w:tcPr>
            <w:tcW w:w="1560" w:type="dxa"/>
            <w:vAlign w:val="bottom"/>
          </w:tcPr>
          <w:p>
            <w:pPr>
              <w:jc w:val="right"/>
              <w:spacing w:after="0" w:line="155" w:lineRule="exact"/>
              <w:rPr>
                <w:sz w:val="20"/>
                <w:szCs w:val="20"/>
                <w:color w:val="auto"/>
              </w:rPr>
            </w:pPr>
            <w:r>
              <w:rPr>
                <w:rFonts w:ascii="Arial" w:cs="Arial" w:eastAsia="Arial" w:hAnsi="Arial"/>
                <w:sz w:val="14"/>
                <w:szCs w:val="14"/>
                <w:color w:val="auto"/>
              </w:rPr>
              <w:t>94,939</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108,008</w:t>
            </w:r>
          </w:p>
        </w:tc>
      </w:tr>
      <w:tr>
        <w:trPr>
          <w:trHeight w:val="162"/>
        </w:trPr>
        <w:tc>
          <w:tcPr>
            <w:tcW w:w="7320" w:type="dxa"/>
            <w:vAlign w:val="bottom"/>
            <w:shd w:val="clear" w:color="auto" w:fill="CFF0FC"/>
          </w:tcPr>
          <w:p>
            <w:pPr>
              <w:spacing w:after="0"/>
              <w:rPr>
                <w:sz w:val="20"/>
                <w:szCs w:val="20"/>
                <w:color w:val="auto"/>
              </w:rPr>
            </w:pPr>
            <w:r>
              <w:rPr>
                <w:rFonts w:ascii="Arial" w:cs="Arial" w:eastAsia="Arial" w:hAnsi="Arial"/>
                <w:sz w:val="14"/>
                <w:szCs w:val="14"/>
                <w:color w:val="auto"/>
              </w:rPr>
              <w:t>Less: cash and cash equivalents</w:t>
            </w:r>
          </w:p>
        </w:tc>
        <w:tc>
          <w:tcPr>
            <w:tcW w:w="220" w:type="dxa"/>
            <w:vAlign w:val="bottom"/>
            <w:shd w:val="clear" w:color="auto" w:fill="CFF0FC"/>
          </w:tcPr>
          <w:p>
            <w:pPr>
              <w:spacing w:after="0"/>
              <w:rPr>
                <w:sz w:val="14"/>
                <w:szCs w:val="14"/>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26,561</w:t>
            </w: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22,664</w:t>
            </w:r>
          </w:p>
        </w:tc>
      </w:tr>
      <w:tr>
        <w:trPr>
          <w:trHeight w:val="155"/>
        </w:trPr>
        <w:tc>
          <w:tcPr>
            <w:tcW w:w="7320" w:type="dxa"/>
            <w:vAlign w:val="bottom"/>
            <w:tcBorders>
              <w:top w:val="single" w:sz="8" w:color="CFF0FC"/>
              <w:bottom w:val="single" w:sz="8" w:color="CFF0FC"/>
            </w:tcBorders>
          </w:tcPr>
          <w:p>
            <w:pPr>
              <w:spacing w:after="0" w:line="155" w:lineRule="exact"/>
              <w:rPr>
                <w:sz w:val="20"/>
                <w:szCs w:val="20"/>
                <w:color w:val="auto"/>
              </w:rPr>
            </w:pPr>
            <w:r>
              <w:rPr>
                <w:rFonts w:ascii="Arial" w:cs="Arial" w:eastAsia="Arial" w:hAnsi="Arial"/>
                <w:sz w:val="14"/>
                <w:szCs w:val="14"/>
                <w:color w:val="auto"/>
              </w:rPr>
              <w:t>Net Debt</w:t>
            </w:r>
          </w:p>
        </w:tc>
        <w:tc>
          <w:tcPr>
            <w:tcW w:w="220" w:type="dxa"/>
            <w:vAlign w:val="bottom"/>
            <w:tcBorders>
              <w:top w:val="single" w:sz="8" w:color="auto"/>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1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68,378</w:t>
            </w:r>
          </w:p>
        </w:tc>
        <w:tc>
          <w:tcPr>
            <w:tcW w:w="280" w:type="dxa"/>
            <w:vAlign w:val="bottom"/>
            <w:tcBorders>
              <w:top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1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85,344</w:t>
            </w:r>
          </w:p>
        </w:tc>
        <w:tc>
          <w:tcPr>
            <w:tcW w:w="100" w:type="dxa"/>
            <w:vAlign w:val="bottom"/>
            <w:tcBorders>
              <w:top w:val="single" w:sz="8" w:color="CFF0FC"/>
              <w:bottom w:val="single" w:sz="8" w:color="CFF0FC"/>
            </w:tcBorders>
          </w:tcPr>
          <w:p>
            <w:pPr>
              <w:spacing w:after="0"/>
              <w:rPr>
                <w:sz w:val="13"/>
                <w:szCs w:val="13"/>
                <w:color w:val="auto"/>
              </w:rPr>
            </w:pPr>
          </w:p>
        </w:tc>
      </w:tr>
      <w:tr>
        <w:trPr>
          <w:trHeight w:val="20"/>
        </w:trPr>
        <w:tc>
          <w:tcPr>
            <w:tcW w:w="7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-350520</wp:posOffset>
            </wp:positionV>
            <wp:extent cx="6858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-136525</wp:posOffset>
            </wp:positionV>
            <wp:extent cx="685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color w:val="auto"/>
        </w:rPr>
        <w:t>The decrease in Net Debt primarily reflects the generation of operating cash flows during fiscal 2026, aided by reduced levels of working capital and capital expenditures.</w:t>
      </w: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Working Capital and Adjusted Working Capital (Non-GAAP Financial Measure)</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the components of working capital and the reconciliation of working capital to Adjusted Working Capital:</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March 29, 2026</w:t>
            </w: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June 29, 2025</w:t>
            </w:r>
          </w:p>
        </w:tc>
        <w:tc>
          <w:tcPr>
            <w:tcW w:w="120" w:type="dxa"/>
            <w:vAlign w:val="bottom"/>
          </w:tcPr>
          <w:p>
            <w:pPr>
              <w:spacing w:after="0"/>
              <w:rPr>
                <w:sz w:val="14"/>
                <w:szCs w:val="14"/>
                <w:color w:val="auto"/>
              </w:rPr>
            </w:pPr>
          </w:p>
        </w:tc>
      </w:tr>
      <w:tr>
        <w:trPr>
          <w:trHeight w:val="156"/>
        </w:trPr>
        <w:tc>
          <w:tcPr>
            <w:tcW w:w="73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Cash and cash equivalents</w:t>
            </w:r>
          </w:p>
        </w:tc>
        <w:tc>
          <w:tcPr>
            <w:tcW w:w="220" w:type="dxa"/>
            <w:vAlign w:val="bottom"/>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800" w:type="dxa"/>
            <w:vAlign w:val="bottom"/>
            <w:gridSpan w:val="2"/>
            <w:shd w:val="clear" w:color="auto" w:fill="CFF0FC"/>
          </w:tcPr>
          <w:p>
            <w:pPr>
              <w:jc w:val="right"/>
              <w:ind w:right="280"/>
              <w:spacing w:after="0" w:line="155" w:lineRule="exact"/>
              <w:rPr>
                <w:sz w:val="20"/>
                <w:szCs w:val="20"/>
                <w:color w:val="auto"/>
              </w:rPr>
            </w:pPr>
            <w:r>
              <w:rPr>
                <w:rFonts w:ascii="Arial" w:cs="Arial" w:eastAsia="Arial" w:hAnsi="Arial"/>
                <w:sz w:val="14"/>
                <w:szCs w:val="14"/>
                <w:color w:val="auto"/>
              </w:rPr>
              <w:t>26,561</w:t>
            </w:r>
          </w:p>
        </w:tc>
        <w:tc>
          <w:tcPr>
            <w:tcW w:w="260" w:type="dxa"/>
            <w:vAlign w:val="bottom"/>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1640" w:type="dxa"/>
            <w:vAlign w:val="bottom"/>
            <w:gridSpan w:val="2"/>
            <w:shd w:val="clear" w:color="auto" w:fill="CFF0FC"/>
          </w:tcPr>
          <w:p>
            <w:pPr>
              <w:jc w:val="right"/>
              <w:ind w:right="120"/>
              <w:spacing w:after="0" w:line="155" w:lineRule="exact"/>
              <w:rPr>
                <w:sz w:val="20"/>
                <w:szCs w:val="20"/>
                <w:color w:val="auto"/>
              </w:rPr>
            </w:pPr>
            <w:r>
              <w:rPr>
                <w:rFonts w:ascii="Arial" w:cs="Arial" w:eastAsia="Arial" w:hAnsi="Arial"/>
                <w:sz w:val="14"/>
                <w:szCs w:val="14"/>
                <w:color w:val="auto"/>
              </w:rPr>
              <w:t>22,664</w:t>
            </w:r>
          </w:p>
        </w:tc>
      </w:tr>
      <w:tr>
        <w:trPr>
          <w:trHeight w:val="162"/>
        </w:trPr>
        <w:tc>
          <w:tcPr>
            <w:tcW w:w="7320" w:type="dxa"/>
            <w:vAlign w:val="bottom"/>
          </w:tcPr>
          <w:p>
            <w:pPr>
              <w:spacing w:after="0"/>
              <w:rPr>
                <w:sz w:val="20"/>
                <w:szCs w:val="20"/>
                <w:color w:val="auto"/>
              </w:rPr>
            </w:pPr>
            <w:r>
              <w:rPr>
                <w:rFonts w:ascii="Arial" w:cs="Arial" w:eastAsia="Arial" w:hAnsi="Arial"/>
                <w:sz w:val="14"/>
                <w:szCs w:val="14"/>
                <w:color w:val="auto"/>
              </w:rPr>
              <w:t>Receivables, net</w:t>
            </w:r>
          </w:p>
        </w:tc>
        <w:tc>
          <w:tcPr>
            <w:tcW w:w="220" w:type="dxa"/>
            <w:vAlign w:val="bottom"/>
          </w:tcPr>
          <w:p>
            <w:pPr>
              <w:spacing w:after="0"/>
              <w:rPr>
                <w:sz w:val="14"/>
                <w:szCs w:val="14"/>
                <w:color w:val="auto"/>
              </w:rPr>
            </w:pPr>
          </w:p>
        </w:tc>
        <w:tc>
          <w:tcPr>
            <w:tcW w:w="1800" w:type="dxa"/>
            <w:vAlign w:val="bottom"/>
            <w:gridSpan w:val="2"/>
          </w:tcPr>
          <w:p>
            <w:pPr>
              <w:jc w:val="right"/>
              <w:ind w:right="280"/>
              <w:spacing w:after="0"/>
              <w:rPr>
                <w:sz w:val="20"/>
                <w:szCs w:val="20"/>
                <w:color w:val="auto"/>
              </w:rPr>
            </w:pPr>
            <w:r>
              <w:rPr>
                <w:rFonts w:ascii="Arial" w:cs="Arial" w:eastAsia="Arial" w:hAnsi="Arial"/>
                <w:sz w:val="14"/>
                <w:szCs w:val="14"/>
                <w:color w:val="auto"/>
              </w:rPr>
              <w:t>73,629</w:t>
            </w:r>
          </w:p>
        </w:tc>
        <w:tc>
          <w:tcPr>
            <w:tcW w:w="260" w:type="dxa"/>
            <w:vAlign w:val="bottom"/>
          </w:tcPr>
          <w:p>
            <w:pPr>
              <w:spacing w:after="0"/>
              <w:rPr>
                <w:sz w:val="14"/>
                <w:szCs w:val="14"/>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4"/>
                <w:szCs w:val="14"/>
                <w:color w:val="auto"/>
              </w:rPr>
              <w:t>75,383</w:t>
            </w:r>
          </w:p>
        </w:tc>
      </w:tr>
      <w:tr>
        <w:trPr>
          <w:trHeight w:val="162"/>
        </w:trPr>
        <w:tc>
          <w:tcPr>
            <w:tcW w:w="7320" w:type="dxa"/>
            <w:vAlign w:val="bottom"/>
            <w:shd w:val="clear" w:color="auto" w:fill="CFF0FC"/>
          </w:tcPr>
          <w:p>
            <w:pPr>
              <w:spacing w:after="0"/>
              <w:rPr>
                <w:sz w:val="20"/>
                <w:szCs w:val="20"/>
                <w:color w:val="auto"/>
              </w:rPr>
            </w:pPr>
            <w:r>
              <w:rPr>
                <w:rFonts w:ascii="Arial" w:cs="Arial" w:eastAsia="Arial" w:hAnsi="Arial"/>
                <w:sz w:val="14"/>
                <w:szCs w:val="14"/>
                <w:color w:val="auto"/>
              </w:rPr>
              <w:t>Inventories</w:t>
            </w:r>
          </w:p>
        </w:tc>
        <w:tc>
          <w:tcPr>
            <w:tcW w:w="220" w:type="dxa"/>
            <w:vAlign w:val="bottom"/>
            <w:shd w:val="clear" w:color="auto" w:fill="CFF0FC"/>
          </w:tcPr>
          <w:p>
            <w:pPr>
              <w:spacing w:after="0"/>
              <w:rPr>
                <w:sz w:val="14"/>
                <w:szCs w:val="14"/>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103,931</w:t>
            </w: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122,929</w:t>
            </w:r>
          </w:p>
        </w:tc>
      </w:tr>
      <w:tr>
        <w:trPr>
          <w:trHeight w:val="162"/>
        </w:trPr>
        <w:tc>
          <w:tcPr>
            <w:tcW w:w="7320" w:type="dxa"/>
            <w:vAlign w:val="bottom"/>
          </w:tcPr>
          <w:p>
            <w:pPr>
              <w:spacing w:after="0"/>
              <w:rPr>
                <w:sz w:val="20"/>
                <w:szCs w:val="20"/>
                <w:color w:val="auto"/>
              </w:rPr>
            </w:pPr>
            <w:r>
              <w:rPr>
                <w:rFonts w:ascii="Arial" w:cs="Arial" w:eastAsia="Arial" w:hAnsi="Arial"/>
                <w:sz w:val="14"/>
                <w:szCs w:val="14"/>
                <w:color w:val="auto"/>
              </w:rPr>
              <w:t>Income taxes receivable</w:t>
            </w:r>
          </w:p>
        </w:tc>
        <w:tc>
          <w:tcPr>
            <w:tcW w:w="2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947</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4"/>
                <w:szCs w:val="14"/>
                <w:color w:val="auto"/>
              </w:rPr>
              <w:t>5,429</w:t>
            </w:r>
          </w:p>
        </w:tc>
      </w:tr>
      <w:tr>
        <w:trPr>
          <w:trHeight w:val="162"/>
        </w:trPr>
        <w:tc>
          <w:tcPr>
            <w:tcW w:w="7320" w:type="dxa"/>
            <w:vAlign w:val="bottom"/>
            <w:shd w:val="clear" w:color="auto" w:fill="CFF0FC"/>
          </w:tcPr>
          <w:p>
            <w:pPr>
              <w:spacing w:after="0"/>
              <w:rPr>
                <w:sz w:val="20"/>
                <w:szCs w:val="20"/>
                <w:color w:val="auto"/>
              </w:rPr>
            </w:pPr>
            <w:r>
              <w:rPr>
                <w:rFonts w:ascii="Arial" w:cs="Arial" w:eastAsia="Arial" w:hAnsi="Arial"/>
                <w:sz w:val="14"/>
                <w:szCs w:val="14"/>
                <w:color w:val="auto"/>
              </w:rPr>
              <w:t>Other current assets</w:t>
            </w:r>
          </w:p>
        </w:tc>
        <w:tc>
          <w:tcPr>
            <w:tcW w:w="220" w:type="dxa"/>
            <w:vAlign w:val="bottom"/>
            <w:shd w:val="clear" w:color="auto" w:fill="CFF0FC"/>
          </w:tcPr>
          <w:p>
            <w:pPr>
              <w:spacing w:after="0"/>
              <w:rPr>
                <w:sz w:val="14"/>
                <w:szCs w:val="14"/>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7,337</w:t>
            </w: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9,222</w:t>
            </w:r>
          </w:p>
        </w:tc>
      </w:tr>
      <w:tr>
        <w:trPr>
          <w:trHeight w:val="162"/>
        </w:trPr>
        <w:tc>
          <w:tcPr>
            <w:tcW w:w="7320" w:type="dxa"/>
            <w:vAlign w:val="bottom"/>
          </w:tcPr>
          <w:p>
            <w:pPr>
              <w:spacing w:after="0"/>
              <w:rPr>
                <w:sz w:val="20"/>
                <w:szCs w:val="20"/>
                <w:color w:val="auto"/>
              </w:rPr>
            </w:pPr>
            <w:r>
              <w:rPr>
                <w:rFonts w:ascii="Arial" w:cs="Arial" w:eastAsia="Arial" w:hAnsi="Arial"/>
                <w:sz w:val="14"/>
                <w:szCs w:val="14"/>
                <w:color w:val="auto"/>
              </w:rPr>
              <w:t>Accounts payable</w:t>
            </w:r>
          </w:p>
        </w:tc>
        <w:tc>
          <w:tcPr>
            <w:tcW w:w="220" w:type="dxa"/>
            <w:vAlign w:val="bottom"/>
          </w:tcPr>
          <w:p>
            <w:pPr>
              <w:spacing w:after="0"/>
              <w:rPr>
                <w:sz w:val="14"/>
                <w:szCs w:val="14"/>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4"/>
                <w:szCs w:val="14"/>
                <w:color w:val="auto"/>
              </w:rPr>
              <w:t>(36,211)</w:t>
            </w:r>
          </w:p>
        </w:tc>
        <w:tc>
          <w:tcPr>
            <w:tcW w:w="260" w:type="dxa"/>
            <w:vAlign w:val="bottom"/>
          </w:tcPr>
          <w:p>
            <w:pPr>
              <w:spacing w:after="0"/>
              <w:rPr>
                <w:sz w:val="14"/>
                <w:szCs w:val="14"/>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4"/>
                <w:szCs w:val="14"/>
                <w:color w:val="auto"/>
              </w:rPr>
              <w:t>(37,468)</w:t>
            </w:r>
          </w:p>
        </w:tc>
      </w:tr>
      <w:tr>
        <w:trPr>
          <w:trHeight w:val="162"/>
        </w:trPr>
        <w:tc>
          <w:tcPr>
            <w:tcW w:w="7320" w:type="dxa"/>
            <w:vAlign w:val="bottom"/>
            <w:shd w:val="clear" w:color="auto" w:fill="CFF0FC"/>
          </w:tcPr>
          <w:p>
            <w:pPr>
              <w:spacing w:after="0"/>
              <w:rPr>
                <w:sz w:val="20"/>
                <w:szCs w:val="20"/>
                <w:color w:val="auto"/>
              </w:rPr>
            </w:pPr>
            <w:r>
              <w:rPr>
                <w:rFonts w:ascii="Arial" w:cs="Arial" w:eastAsia="Arial" w:hAnsi="Arial"/>
                <w:sz w:val="14"/>
                <w:szCs w:val="14"/>
                <w:color w:val="auto"/>
              </w:rPr>
              <w:t>Other current liabilities</w:t>
            </w:r>
          </w:p>
        </w:tc>
        <w:tc>
          <w:tcPr>
            <w:tcW w:w="220" w:type="dxa"/>
            <w:vAlign w:val="bottom"/>
            <w:shd w:val="clear" w:color="auto" w:fill="CFF0FC"/>
          </w:tcPr>
          <w:p>
            <w:pPr>
              <w:spacing w:after="0"/>
              <w:rPr>
                <w:sz w:val="14"/>
                <w:szCs w:val="14"/>
                <w:color w:val="auto"/>
              </w:rPr>
            </w:pPr>
          </w:p>
        </w:tc>
        <w:tc>
          <w:tcPr>
            <w:tcW w:w="18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(16,308)</w:t>
            </w:r>
          </w:p>
        </w:tc>
        <w:tc>
          <w:tcPr>
            <w:tcW w:w="260" w:type="dxa"/>
            <w:vAlign w:val="bottom"/>
            <w:shd w:val="clear" w:color="auto" w:fill="CFF0FC"/>
          </w:tcPr>
          <w:p>
            <w:pPr>
              <w:spacing w:after="0"/>
              <w:rPr>
                <w:sz w:val="14"/>
                <w:szCs w:val="14"/>
                <w:color w:val="auto"/>
              </w:rPr>
            </w:pPr>
          </w:p>
        </w:tc>
        <w:tc>
          <w:tcPr>
            <w:tcW w:w="16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(18,899)</w:t>
            </w:r>
          </w:p>
        </w:tc>
      </w:tr>
      <w:tr>
        <w:trPr>
          <w:trHeight w:val="162"/>
        </w:trPr>
        <w:tc>
          <w:tcPr>
            <w:tcW w:w="7320" w:type="dxa"/>
            <w:vAlign w:val="bottom"/>
          </w:tcPr>
          <w:p>
            <w:pPr>
              <w:spacing w:after="0"/>
              <w:rPr>
                <w:sz w:val="20"/>
                <w:szCs w:val="20"/>
                <w:color w:val="auto"/>
              </w:rPr>
            </w:pPr>
            <w:r>
              <w:rPr>
                <w:rFonts w:ascii="Arial" w:cs="Arial" w:eastAsia="Arial" w:hAnsi="Arial"/>
                <w:sz w:val="14"/>
                <w:szCs w:val="14"/>
                <w:color w:val="auto"/>
              </w:rPr>
              <w:t>Income taxes payable</w:t>
            </w:r>
          </w:p>
        </w:tc>
        <w:tc>
          <w:tcPr>
            <w:tcW w:w="220" w:type="dxa"/>
            <w:vAlign w:val="bottom"/>
          </w:tcPr>
          <w:p>
            <w:pPr>
              <w:spacing w:after="0"/>
              <w:rPr>
                <w:sz w:val="14"/>
                <w:szCs w:val="14"/>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4"/>
                <w:szCs w:val="14"/>
                <w:color w:val="auto"/>
              </w:rPr>
              <w:t>(661)</w:t>
            </w:r>
          </w:p>
        </w:tc>
        <w:tc>
          <w:tcPr>
            <w:tcW w:w="260" w:type="dxa"/>
            <w:vAlign w:val="bottom"/>
          </w:tcPr>
          <w:p>
            <w:pPr>
              <w:spacing w:after="0"/>
              <w:rPr>
                <w:sz w:val="14"/>
                <w:szCs w:val="14"/>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4"/>
                <w:szCs w:val="14"/>
                <w:color w:val="auto"/>
              </w:rPr>
              <w:t>(49)</w:t>
            </w:r>
          </w:p>
        </w:tc>
      </w:tr>
      <w:tr>
        <w:trPr>
          <w:trHeight w:val="162"/>
        </w:trPr>
        <w:tc>
          <w:tcPr>
            <w:tcW w:w="7320" w:type="dxa"/>
            <w:vAlign w:val="bottom"/>
            <w:shd w:val="clear" w:color="auto" w:fill="CFF0FC"/>
          </w:tcPr>
          <w:p>
            <w:pPr>
              <w:spacing w:after="0"/>
              <w:rPr>
                <w:sz w:val="20"/>
                <w:szCs w:val="20"/>
                <w:color w:val="auto"/>
              </w:rPr>
            </w:pPr>
            <w:r>
              <w:rPr>
                <w:rFonts w:ascii="Arial" w:cs="Arial" w:eastAsia="Arial" w:hAnsi="Arial"/>
                <w:sz w:val="14"/>
                <w:szCs w:val="14"/>
                <w:color w:val="auto"/>
              </w:rPr>
              <w:t>Current operating lease liabilities</w:t>
            </w:r>
          </w:p>
        </w:tc>
        <w:tc>
          <w:tcPr>
            <w:tcW w:w="220" w:type="dxa"/>
            <w:vAlign w:val="bottom"/>
            <w:shd w:val="clear" w:color="auto" w:fill="CFF0FC"/>
          </w:tcPr>
          <w:p>
            <w:pPr>
              <w:spacing w:after="0"/>
              <w:rPr>
                <w:sz w:val="14"/>
                <w:szCs w:val="14"/>
                <w:color w:val="auto"/>
              </w:rPr>
            </w:pPr>
          </w:p>
        </w:tc>
        <w:tc>
          <w:tcPr>
            <w:tcW w:w="18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(2,289)</w:t>
            </w:r>
          </w:p>
        </w:tc>
        <w:tc>
          <w:tcPr>
            <w:tcW w:w="260" w:type="dxa"/>
            <w:vAlign w:val="bottom"/>
            <w:shd w:val="clear" w:color="auto" w:fill="CFF0FC"/>
          </w:tcPr>
          <w:p>
            <w:pPr>
              <w:spacing w:after="0"/>
              <w:rPr>
                <w:sz w:val="14"/>
                <w:szCs w:val="14"/>
                <w:color w:val="auto"/>
              </w:rPr>
            </w:pPr>
          </w:p>
        </w:tc>
        <w:tc>
          <w:tcPr>
            <w:tcW w:w="16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(2,368)</w:t>
            </w:r>
          </w:p>
        </w:tc>
      </w:tr>
      <w:tr>
        <w:trPr>
          <w:trHeight w:val="162"/>
        </w:trPr>
        <w:tc>
          <w:tcPr>
            <w:tcW w:w="7320" w:type="dxa"/>
            <w:vAlign w:val="bottom"/>
          </w:tcPr>
          <w:p>
            <w:pPr>
              <w:spacing w:after="0"/>
              <w:rPr>
                <w:sz w:val="20"/>
                <w:szCs w:val="20"/>
                <w:color w:val="auto"/>
              </w:rPr>
            </w:pPr>
            <w:r>
              <w:rPr>
                <w:rFonts w:ascii="Arial" w:cs="Arial" w:eastAsia="Arial" w:hAnsi="Arial"/>
                <w:sz w:val="14"/>
                <w:szCs w:val="14"/>
                <w:color w:val="auto"/>
              </w:rPr>
              <w:t>Current portion of long-term debt</w:t>
            </w:r>
          </w:p>
        </w:tc>
        <w:tc>
          <w:tcPr>
            <w:tcW w:w="220" w:type="dxa"/>
            <w:vAlign w:val="bottom"/>
          </w:tcPr>
          <w:p>
            <w:pPr>
              <w:spacing w:after="0"/>
              <w:rPr>
                <w:sz w:val="14"/>
                <w:szCs w:val="14"/>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4"/>
                <w:szCs w:val="14"/>
                <w:color w:val="auto"/>
              </w:rPr>
              <w:t>(12,614)</w:t>
            </w:r>
          </w:p>
        </w:tc>
        <w:tc>
          <w:tcPr>
            <w:tcW w:w="260" w:type="dxa"/>
            <w:vAlign w:val="bottom"/>
          </w:tcPr>
          <w:p>
            <w:pPr>
              <w:spacing w:after="0"/>
              <w:rPr>
                <w:sz w:val="14"/>
                <w:szCs w:val="14"/>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4"/>
                <w:szCs w:val="14"/>
                <w:color w:val="auto"/>
              </w:rPr>
              <w:t>(12,159)</w:t>
            </w:r>
          </w:p>
        </w:tc>
      </w:tr>
      <w:tr>
        <w:trPr>
          <w:trHeight w:val="155"/>
        </w:trPr>
        <w:tc>
          <w:tcPr>
            <w:tcW w:w="7320" w:type="dxa"/>
            <w:vAlign w:val="bottom"/>
            <w:shd w:val="clear" w:color="auto" w:fill="CFF0FC"/>
          </w:tcPr>
          <w:p>
            <w:pPr>
              <w:ind w:left="140"/>
              <w:spacing w:after="0" w:line="155" w:lineRule="exact"/>
              <w:rPr>
                <w:sz w:val="20"/>
                <w:szCs w:val="20"/>
                <w:color w:val="auto"/>
              </w:rPr>
            </w:pPr>
            <w:r>
              <w:rPr>
                <w:rFonts w:ascii="Arial" w:cs="Arial" w:eastAsia="Arial" w:hAnsi="Arial"/>
                <w:sz w:val="14"/>
                <w:szCs w:val="14"/>
                <w:color w:val="auto"/>
              </w:rPr>
              <w:t>Working capital</w:t>
            </w:r>
          </w:p>
        </w:tc>
        <w:tc>
          <w:tcPr>
            <w:tcW w:w="220" w:type="dxa"/>
            <w:vAlign w:val="bottom"/>
            <w:tcBorders>
              <w:top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5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144,322</w:t>
            </w:r>
          </w:p>
        </w:tc>
        <w:tc>
          <w:tcPr>
            <w:tcW w:w="280" w:type="dxa"/>
            <w:vAlign w:val="bottom"/>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15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164,684</w:t>
            </w:r>
          </w:p>
        </w:tc>
        <w:tc>
          <w:tcPr>
            <w:tcW w:w="120" w:type="dxa"/>
            <w:vAlign w:val="bottom"/>
            <w:shd w:val="clear" w:color="auto" w:fill="CFF0FC"/>
          </w:tcPr>
          <w:p>
            <w:pPr>
              <w:spacing w:after="0"/>
              <w:rPr>
                <w:sz w:val="13"/>
                <w:szCs w:val="13"/>
                <w:color w:val="auto"/>
              </w:rPr>
            </w:pPr>
          </w:p>
        </w:tc>
      </w:tr>
      <w:tr>
        <w:trPr>
          <w:trHeight w:val="162"/>
        </w:trPr>
        <w:tc>
          <w:tcPr>
            <w:tcW w:w="7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320" w:type="dxa"/>
            <w:vAlign w:val="bottom"/>
            <w:shd w:val="clear" w:color="auto" w:fill="CFF0FC"/>
          </w:tcPr>
          <w:p>
            <w:pPr>
              <w:spacing w:after="0"/>
              <w:rPr>
                <w:sz w:val="20"/>
                <w:szCs w:val="20"/>
                <w:color w:val="auto"/>
              </w:rPr>
            </w:pPr>
            <w:r>
              <w:rPr>
                <w:rFonts w:ascii="Arial" w:cs="Arial" w:eastAsia="Arial" w:hAnsi="Arial"/>
                <w:sz w:val="14"/>
                <w:szCs w:val="14"/>
                <w:color w:val="auto"/>
              </w:rPr>
              <w:t>Less: Cash and cash equivalents</w:t>
            </w:r>
          </w:p>
        </w:tc>
        <w:tc>
          <w:tcPr>
            <w:tcW w:w="220" w:type="dxa"/>
            <w:vAlign w:val="bottom"/>
            <w:shd w:val="clear" w:color="auto" w:fill="CFF0FC"/>
          </w:tcPr>
          <w:p>
            <w:pPr>
              <w:spacing w:after="0"/>
              <w:rPr>
                <w:sz w:val="14"/>
                <w:szCs w:val="14"/>
                <w:color w:val="auto"/>
              </w:rPr>
            </w:pPr>
          </w:p>
        </w:tc>
        <w:tc>
          <w:tcPr>
            <w:tcW w:w="18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(26,561)</w:t>
            </w:r>
          </w:p>
        </w:tc>
        <w:tc>
          <w:tcPr>
            <w:tcW w:w="260" w:type="dxa"/>
            <w:vAlign w:val="bottom"/>
            <w:shd w:val="clear" w:color="auto" w:fill="CFF0FC"/>
          </w:tcPr>
          <w:p>
            <w:pPr>
              <w:spacing w:after="0"/>
              <w:rPr>
                <w:sz w:val="14"/>
                <w:szCs w:val="14"/>
                <w:color w:val="auto"/>
              </w:rPr>
            </w:pPr>
          </w:p>
        </w:tc>
        <w:tc>
          <w:tcPr>
            <w:tcW w:w="16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(22,664)</w:t>
            </w:r>
          </w:p>
        </w:tc>
      </w:tr>
      <w:tr>
        <w:trPr>
          <w:trHeight w:val="162"/>
        </w:trPr>
        <w:tc>
          <w:tcPr>
            <w:tcW w:w="7320" w:type="dxa"/>
            <w:vAlign w:val="bottom"/>
          </w:tcPr>
          <w:p>
            <w:pPr>
              <w:spacing w:after="0"/>
              <w:rPr>
                <w:sz w:val="20"/>
                <w:szCs w:val="20"/>
                <w:color w:val="auto"/>
              </w:rPr>
            </w:pPr>
            <w:r>
              <w:rPr>
                <w:rFonts w:ascii="Arial" w:cs="Arial" w:eastAsia="Arial" w:hAnsi="Arial"/>
                <w:sz w:val="14"/>
                <w:szCs w:val="14"/>
                <w:color w:val="auto"/>
              </w:rPr>
              <w:t>Less: Income taxes receivable</w:t>
            </w:r>
          </w:p>
        </w:tc>
        <w:tc>
          <w:tcPr>
            <w:tcW w:w="220" w:type="dxa"/>
            <w:vAlign w:val="bottom"/>
          </w:tcPr>
          <w:p>
            <w:pPr>
              <w:spacing w:after="0"/>
              <w:rPr>
                <w:sz w:val="14"/>
                <w:szCs w:val="14"/>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4"/>
                <w:szCs w:val="14"/>
                <w:color w:val="auto"/>
              </w:rPr>
              <w:t>(947)</w:t>
            </w:r>
          </w:p>
        </w:tc>
        <w:tc>
          <w:tcPr>
            <w:tcW w:w="260" w:type="dxa"/>
            <w:vAlign w:val="bottom"/>
          </w:tcPr>
          <w:p>
            <w:pPr>
              <w:spacing w:after="0"/>
              <w:rPr>
                <w:sz w:val="14"/>
                <w:szCs w:val="14"/>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4"/>
                <w:szCs w:val="14"/>
                <w:color w:val="auto"/>
              </w:rPr>
              <w:t>(5,429)</w:t>
            </w:r>
          </w:p>
        </w:tc>
      </w:tr>
      <w:tr>
        <w:trPr>
          <w:trHeight w:val="162"/>
        </w:trPr>
        <w:tc>
          <w:tcPr>
            <w:tcW w:w="7320" w:type="dxa"/>
            <w:vAlign w:val="bottom"/>
            <w:shd w:val="clear" w:color="auto" w:fill="CFF0FC"/>
          </w:tcPr>
          <w:p>
            <w:pPr>
              <w:spacing w:after="0"/>
              <w:rPr>
                <w:sz w:val="20"/>
                <w:szCs w:val="20"/>
                <w:color w:val="auto"/>
              </w:rPr>
            </w:pPr>
            <w:r>
              <w:rPr>
                <w:rFonts w:ascii="Arial" w:cs="Arial" w:eastAsia="Arial" w:hAnsi="Arial"/>
                <w:sz w:val="14"/>
                <w:szCs w:val="14"/>
                <w:color w:val="auto"/>
              </w:rPr>
              <w:t>Less: Income taxes payable</w:t>
            </w:r>
          </w:p>
        </w:tc>
        <w:tc>
          <w:tcPr>
            <w:tcW w:w="220" w:type="dxa"/>
            <w:vAlign w:val="bottom"/>
            <w:shd w:val="clear" w:color="auto" w:fill="CFF0FC"/>
          </w:tcPr>
          <w:p>
            <w:pPr>
              <w:spacing w:after="0"/>
              <w:rPr>
                <w:sz w:val="14"/>
                <w:szCs w:val="14"/>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661</w:t>
            </w: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49</w:t>
            </w:r>
          </w:p>
        </w:tc>
      </w:tr>
      <w:tr>
        <w:trPr>
          <w:trHeight w:val="162"/>
        </w:trPr>
        <w:tc>
          <w:tcPr>
            <w:tcW w:w="7320" w:type="dxa"/>
            <w:vAlign w:val="bottom"/>
          </w:tcPr>
          <w:p>
            <w:pPr>
              <w:spacing w:after="0"/>
              <w:rPr>
                <w:sz w:val="20"/>
                <w:szCs w:val="20"/>
                <w:color w:val="auto"/>
              </w:rPr>
            </w:pPr>
            <w:r>
              <w:rPr>
                <w:rFonts w:ascii="Arial" w:cs="Arial" w:eastAsia="Arial" w:hAnsi="Arial"/>
                <w:sz w:val="14"/>
                <w:szCs w:val="14"/>
                <w:color w:val="auto"/>
              </w:rPr>
              <w:t>Less: Current operating lease liabilities</w:t>
            </w:r>
          </w:p>
        </w:tc>
        <w:tc>
          <w:tcPr>
            <w:tcW w:w="2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2,289</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4"/>
                <w:szCs w:val="14"/>
                <w:color w:val="auto"/>
              </w:rPr>
              <w:t>2,368</w:t>
            </w:r>
          </w:p>
        </w:tc>
      </w:tr>
      <w:tr>
        <w:trPr>
          <w:trHeight w:val="162"/>
        </w:trPr>
        <w:tc>
          <w:tcPr>
            <w:tcW w:w="7320" w:type="dxa"/>
            <w:vAlign w:val="bottom"/>
            <w:shd w:val="clear" w:color="auto" w:fill="CFF0FC"/>
          </w:tcPr>
          <w:p>
            <w:pPr>
              <w:spacing w:after="0"/>
              <w:rPr>
                <w:sz w:val="20"/>
                <w:szCs w:val="20"/>
                <w:color w:val="auto"/>
              </w:rPr>
            </w:pPr>
            <w:r>
              <w:rPr>
                <w:rFonts w:ascii="Arial" w:cs="Arial" w:eastAsia="Arial" w:hAnsi="Arial"/>
                <w:sz w:val="14"/>
                <w:szCs w:val="14"/>
                <w:color w:val="auto"/>
              </w:rPr>
              <w:t>Less: Current portion of long-term debt</w:t>
            </w:r>
          </w:p>
        </w:tc>
        <w:tc>
          <w:tcPr>
            <w:tcW w:w="220" w:type="dxa"/>
            <w:vAlign w:val="bottom"/>
            <w:shd w:val="clear" w:color="auto" w:fill="CFF0FC"/>
          </w:tcPr>
          <w:p>
            <w:pPr>
              <w:spacing w:after="0"/>
              <w:rPr>
                <w:sz w:val="14"/>
                <w:szCs w:val="14"/>
                <w:color w:val="auto"/>
              </w:rPr>
            </w:pPr>
          </w:p>
        </w:tc>
        <w:tc>
          <w:tcPr>
            <w:tcW w:w="18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12,614</w:t>
            </w:r>
          </w:p>
        </w:tc>
        <w:tc>
          <w:tcPr>
            <w:tcW w:w="260" w:type="dxa"/>
            <w:vAlign w:val="bottom"/>
            <w:shd w:val="clear" w:color="auto" w:fill="CFF0FC"/>
          </w:tcPr>
          <w:p>
            <w:pPr>
              <w:spacing w:after="0"/>
              <w:rPr>
                <w:sz w:val="14"/>
                <w:szCs w:val="14"/>
                <w:color w:val="auto"/>
              </w:rPr>
            </w:pPr>
          </w:p>
        </w:tc>
        <w:tc>
          <w:tcPr>
            <w:tcW w:w="16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12,159</w:t>
            </w:r>
          </w:p>
        </w:tc>
      </w:tr>
      <w:tr>
        <w:trPr>
          <w:trHeight w:val="155"/>
        </w:trPr>
        <w:tc>
          <w:tcPr>
            <w:tcW w:w="7320" w:type="dxa"/>
            <w:vAlign w:val="bottom"/>
            <w:tcBorders>
              <w:top w:val="single" w:sz="8" w:color="CFF0FC"/>
            </w:tcBorders>
          </w:tcPr>
          <w:p>
            <w:pPr>
              <w:ind w:left="140"/>
              <w:spacing w:after="0" w:line="155" w:lineRule="exact"/>
              <w:rPr>
                <w:sz w:val="20"/>
                <w:szCs w:val="20"/>
                <w:color w:val="auto"/>
              </w:rPr>
            </w:pPr>
            <w:r>
              <w:rPr>
                <w:rFonts w:ascii="Arial" w:cs="Arial" w:eastAsia="Arial" w:hAnsi="Arial"/>
                <w:sz w:val="14"/>
                <w:szCs w:val="14"/>
                <w:color w:val="auto"/>
              </w:rPr>
              <w:t>Adjusted Working Capital</w:t>
            </w:r>
          </w:p>
        </w:tc>
        <w:tc>
          <w:tcPr>
            <w:tcW w:w="22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132,378</w:t>
            </w:r>
          </w:p>
        </w:tc>
        <w:tc>
          <w:tcPr>
            <w:tcW w:w="280" w:type="dxa"/>
            <w:vAlign w:val="bottom"/>
            <w:tcBorders>
              <w:top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1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151,167</w:t>
            </w:r>
          </w:p>
        </w:tc>
        <w:tc>
          <w:tcPr>
            <w:tcW w:w="120" w:type="dxa"/>
            <w:vAlign w:val="bottom"/>
            <w:tcBorders>
              <w:top w:val="single" w:sz="8" w:color="CFF0FC"/>
            </w:tcBorders>
          </w:tcPr>
          <w:p>
            <w:pPr>
              <w:spacing w:after="0"/>
              <w:rPr>
                <w:sz w:val="13"/>
                <w:szCs w:val="13"/>
                <w:color w:val="auto"/>
              </w:rPr>
            </w:pPr>
          </w:p>
        </w:tc>
      </w:tr>
      <w:tr>
        <w:trPr>
          <w:trHeight w:val="20"/>
        </w:trPr>
        <w:tc>
          <w:tcPr>
            <w:tcW w:w="7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-136525</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-136525</wp:posOffset>
            </wp:positionV>
            <wp:extent cx="7747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color w:val="auto"/>
        </w:rPr>
        <w:t>Adjusted Working Capital decreased $18,789 from June 29, 2025 to March 29, 2026.</w:t>
      </w:r>
    </w:p>
    <w:p>
      <w:pPr>
        <w:spacing w:after="0" w:line="217"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The decrease in Adjusted Working Capital was primarily attributable to the decreases in (i) inventories due to lower units on hand, (ii) receivables, net due to lower sales and the timing of cash receipts, and (iii) other current assets primarily due to lower vendor deposits and value-added taxes receivable. These were partially offset by reductions in (a) accounts payable primarily due to lower production activity to match customer demand and variable cost-saving initiatives and (b) other current liabilities due primarily to the payment of incentive compensation earned in fiscal 2025.</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0"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96"/>
        </w:trPr>
        <w:tc>
          <w:tcPr>
            <w:tcW w:w="7320" w:type="dxa"/>
            <w:vAlign w:val="bottom"/>
          </w:tcPr>
          <w:p>
            <w:pPr>
              <w:spacing w:after="0"/>
              <w:rPr>
                <w:sz w:val="20"/>
                <w:szCs w:val="20"/>
                <w:color w:val="auto"/>
              </w:rPr>
            </w:pPr>
            <w:r>
              <w:rPr>
                <w:rFonts w:ascii="Arial" w:cs="Arial" w:eastAsia="Arial" w:hAnsi="Arial"/>
                <w:sz w:val="14"/>
                <w:szCs w:val="14"/>
                <w:b w:val="1"/>
                <w:bCs w:val="1"/>
                <w:color w:val="auto"/>
              </w:rPr>
              <w:t>Operating Cash Flows</w:t>
            </w: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64"/>
        </w:trPr>
        <w:tc>
          <w:tcPr>
            <w:tcW w:w="7320" w:type="dxa"/>
            <w:vAlign w:val="bottom"/>
          </w:tcPr>
          <w:p>
            <w:pPr>
              <w:spacing w:after="0"/>
              <w:rPr>
                <w:sz w:val="20"/>
                <w:szCs w:val="20"/>
                <w:color w:val="auto"/>
              </w:rPr>
            </w:pPr>
            <w:r>
              <w:rPr>
                <w:rFonts w:ascii="Arial" w:cs="Arial" w:eastAsia="Arial" w:hAnsi="Arial"/>
                <w:sz w:val="14"/>
                <w:szCs w:val="14"/>
                <w:color w:val="auto"/>
              </w:rPr>
              <w:t>The significant components of net cash provided (used) by operating activities are summarized below.</w:t>
            </w:r>
          </w:p>
        </w:tc>
        <w:tc>
          <w:tcPr>
            <w:tcW w:w="2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51"/>
        </w:trPr>
        <w:tc>
          <w:tcPr>
            <w:tcW w:w="7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700" w:type="dxa"/>
            <w:vAlign w:val="bottom"/>
            <w:gridSpan w:val="5"/>
          </w:tcPr>
          <w:p>
            <w:pPr>
              <w:jc w:val="right"/>
              <w:ind w:right="1100"/>
              <w:spacing w:after="0"/>
              <w:rPr>
                <w:sz w:val="20"/>
                <w:szCs w:val="20"/>
                <w:color w:val="auto"/>
              </w:rPr>
            </w:pPr>
            <w:r>
              <w:rPr>
                <w:rFonts w:ascii="Arial" w:cs="Arial" w:eastAsia="Arial" w:hAnsi="Arial"/>
                <w:sz w:val="14"/>
                <w:szCs w:val="14"/>
                <w:b w:val="1"/>
                <w:bCs w:val="1"/>
                <w:color w:val="auto"/>
              </w:rPr>
              <w:t>For the Nine Months Ended</w:t>
            </w:r>
          </w:p>
        </w:tc>
      </w:tr>
      <w:tr>
        <w:trPr>
          <w:trHeight w:val="156"/>
        </w:trPr>
        <w:tc>
          <w:tcPr>
            <w:tcW w:w="732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520" w:type="dxa"/>
            <w:vAlign w:val="bottom"/>
            <w:tcBorders>
              <w:top w:val="single" w:sz="8" w:color="auto"/>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March 29, 2026</w:t>
            </w:r>
          </w:p>
        </w:tc>
        <w:tc>
          <w:tcPr>
            <w:tcW w:w="28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540" w:type="dxa"/>
            <w:vAlign w:val="bottom"/>
            <w:tcBorders>
              <w:top w:val="single" w:sz="8" w:color="auto"/>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March 30, 2025</w:t>
            </w:r>
          </w:p>
        </w:tc>
        <w:tc>
          <w:tcPr>
            <w:tcW w:w="120" w:type="dxa"/>
            <w:vAlign w:val="bottom"/>
          </w:tcPr>
          <w:p>
            <w:pPr>
              <w:spacing w:after="0"/>
              <w:rPr>
                <w:sz w:val="13"/>
                <w:szCs w:val="13"/>
                <w:color w:val="auto"/>
              </w:rPr>
            </w:pPr>
          </w:p>
        </w:tc>
      </w:tr>
      <w:tr>
        <w:trPr>
          <w:trHeight w:val="155"/>
        </w:trPr>
        <w:tc>
          <w:tcPr>
            <w:tcW w:w="73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Net loss</w:t>
            </w:r>
          </w:p>
        </w:tc>
        <w:tc>
          <w:tcPr>
            <w:tcW w:w="220" w:type="dxa"/>
            <w:vAlign w:val="bottom"/>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800" w:type="dxa"/>
            <w:vAlign w:val="bottom"/>
            <w:gridSpan w:val="2"/>
            <w:shd w:val="clear" w:color="auto" w:fill="CFF0FC"/>
          </w:tcPr>
          <w:p>
            <w:pPr>
              <w:jc w:val="right"/>
              <w:ind w:right="220"/>
              <w:spacing w:after="0" w:line="155" w:lineRule="exact"/>
              <w:rPr>
                <w:sz w:val="20"/>
                <w:szCs w:val="20"/>
                <w:color w:val="auto"/>
              </w:rPr>
            </w:pPr>
            <w:r>
              <w:rPr>
                <w:rFonts w:ascii="Arial" w:cs="Arial" w:eastAsia="Arial" w:hAnsi="Arial"/>
                <w:sz w:val="14"/>
                <w:szCs w:val="14"/>
                <w:color w:val="auto"/>
              </w:rPr>
              <w:t>(23,369)</w:t>
            </w:r>
          </w:p>
        </w:tc>
        <w:tc>
          <w:tcPr>
            <w:tcW w:w="240" w:type="dxa"/>
            <w:vAlign w:val="bottom"/>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166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(35,818)</w:t>
            </w:r>
          </w:p>
        </w:tc>
      </w:tr>
      <w:tr>
        <w:trPr>
          <w:trHeight w:val="162"/>
        </w:trPr>
        <w:tc>
          <w:tcPr>
            <w:tcW w:w="7320" w:type="dxa"/>
            <w:vAlign w:val="bottom"/>
          </w:tcPr>
          <w:p>
            <w:pPr>
              <w:spacing w:after="0"/>
              <w:rPr>
                <w:sz w:val="20"/>
                <w:szCs w:val="20"/>
                <w:color w:val="auto"/>
              </w:rPr>
            </w:pPr>
            <w:r>
              <w:rPr>
                <w:rFonts w:ascii="Arial" w:cs="Arial" w:eastAsia="Arial" w:hAnsi="Arial"/>
                <w:sz w:val="14"/>
                <w:szCs w:val="14"/>
                <w:color w:val="auto"/>
              </w:rPr>
              <w:t>Equity in loss of unconsolidated affiliate</w:t>
            </w:r>
          </w:p>
        </w:tc>
        <w:tc>
          <w:tcPr>
            <w:tcW w:w="2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289</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467</w:t>
            </w:r>
          </w:p>
        </w:tc>
        <w:tc>
          <w:tcPr>
            <w:tcW w:w="120" w:type="dxa"/>
            <w:vAlign w:val="bottom"/>
          </w:tcPr>
          <w:p>
            <w:pPr>
              <w:spacing w:after="0"/>
              <w:rPr>
                <w:sz w:val="14"/>
                <w:szCs w:val="14"/>
                <w:color w:val="auto"/>
              </w:rPr>
            </w:pPr>
          </w:p>
        </w:tc>
      </w:tr>
      <w:tr>
        <w:trPr>
          <w:trHeight w:val="162"/>
        </w:trPr>
        <w:tc>
          <w:tcPr>
            <w:tcW w:w="7320" w:type="dxa"/>
            <w:vAlign w:val="bottom"/>
            <w:shd w:val="clear" w:color="auto" w:fill="CFF0FC"/>
          </w:tcPr>
          <w:p>
            <w:pPr>
              <w:spacing w:after="0"/>
              <w:rPr>
                <w:sz w:val="20"/>
                <w:szCs w:val="20"/>
                <w:color w:val="auto"/>
              </w:rPr>
            </w:pPr>
            <w:r>
              <w:rPr>
                <w:rFonts w:ascii="Arial" w:cs="Arial" w:eastAsia="Arial" w:hAnsi="Arial"/>
                <w:sz w:val="14"/>
                <w:szCs w:val="14"/>
                <w:color w:val="auto"/>
              </w:rPr>
              <w:t>Depreciation and amortization expense</w:t>
            </w:r>
          </w:p>
        </w:tc>
        <w:tc>
          <w:tcPr>
            <w:tcW w:w="220" w:type="dxa"/>
            <w:vAlign w:val="bottom"/>
            <w:shd w:val="clear" w:color="auto" w:fill="CFF0FC"/>
          </w:tcPr>
          <w:p>
            <w:pPr>
              <w:spacing w:after="0"/>
              <w:rPr>
                <w:sz w:val="14"/>
                <w:szCs w:val="14"/>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18,100</w:t>
            </w: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19,200</w:t>
            </w:r>
          </w:p>
        </w:tc>
        <w:tc>
          <w:tcPr>
            <w:tcW w:w="120" w:type="dxa"/>
            <w:vAlign w:val="bottom"/>
            <w:shd w:val="clear" w:color="auto" w:fill="CFF0FC"/>
          </w:tcPr>
          <w:p>
            <w:pPr>
              <w:spacing w:after="0"/>
              <w:rPr>
                <w:sz w:val="14"/>
                <w:szCs w:val="14"/>
                <w:color w:val="auto"/>
              </w:rPr>
            </w:pPr>
          </w:p>
        </w:tc>
      </w:tr>
      <w:tr>
        <w:trPr>
          <w:trHeight w:val="162"/>
        </w:trPr>
        <w:tc>
          <w:tcPr>
            <w:tcW w:w="7320" w:type="dxa"/>
            <w:vAlign w:val="bottom"/>
          </w:tcPr>
          <w:p>
            <w:pPr>
              <w:spacing w:after="0"/>
              <w:rPr>
                <w:sz w:val="20"/>
                <w:szCs w:val="20"/>
                <w:color w:val="auto"/>
              </w:rPr>
            </w:pPr>
            <w:r>
              <w:rPr>
                <w:rFonts w:ascii="Arial" w:cs="Arial" w:eastAsia="Arial" w:hAnsi="Arial"/>
                <w:sz w:val="14"/>
                <w:szCs w:val="14"/>
                <w:color w:val="auto"/>
              </w:rPr>
              <w:t>Non-cash compensation expense</w:t>
            </w:r>
          </w:p>
        </w:tc>
        <w:tc>
          <w:tcPr>
            <w:tcW w:w="2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2,431</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2,442</w:t>
            </w:r>
          </w:p>
        </w:tc>
        <w:tc>
          <w:tcPr>
            <w:tcW w:w="120" w:type="dxa"/>
            <w:vAlign w:val="bottom"/>
          </w:tcPr>
          <w:p>
            <w:pPr>
              <w:spacing w:after="0"/>
              <w:rPr>
                <w:sz w:val="14"/>
                <w:szCs w:val="14"/>
                <w:color w:val="auto"/>
              </w:rPr>
            </w:pPr>
          </w:p>
        </w:tc>
      </w:tr>
      <w:tr>
        <w:trPr>
          <w:trHeight w:val="162"/>
        </w:trPr>
        <w:tc>
          <w:tcPr>
            <w:tcW w:w="7320" w:type="dxa"/>
            <w:vAlign w:val="bottom"/>
            <w:shd w:val="clear" w:color="auto" w:fill="CFF0FC"/>
          </w:tcPr>
          <w:p>
            <w:pPr>
              <w:spacing w:after="0"/>
              <w:rPr>
                <w:sz w:val="20"/>
                <w:szCs w:val="20"/>
                <w:color w:val="auto"/>
              </w:rPr>
            </w:pPr>
            <w:r>
              <w:rPr>
                <w:rFonts w:ascii="Arial" w:cs="Arial" w:eastAsia="Arial" w:hAnsi="Arial"/>
                <w:sz w:val="14"/>
                <w:szCs w:val="14"/>
                <w:color w:val="auto"/>
              </w:rPr>
              <w:t>Gain on foreign currency transaction, net</w:t>
            </w:r>
          </w:p>
        </w:tc>
        <w:tc>
          <w:tcPr>
            <w:tcW w:w="220" w:type="dxa"/>
            <w:vAlign w:val="bottom"/>
            <w:shd w:val="clear" w:color="auto" w:fill="CFF0FC"/>
          </w:tcPr>
          <w:p>
            <w:pPr>
              <w:spacing w:after="0"/>
              <w:rPr>
                <w:sz w:val="14"/>
                <w:szCs w:val="14"/>
                <w:color w:val="auto"/>
              </w:rPr>
            </w:pPr>
          </w:p>
        </w:tc>
        <w:tc>
          <w:tcPr>
            <w:tcW w:w="18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(1,775)</w:t>
            </w:r>
          </w:p>
        </w:tc>
        <w:tc>
          <w:tcPr>
            <w:tcW w:w="240" w:type="dxa"/>
            <w:vAlign w:val="bottom"/>
            <w:shd w:val="clear" w:color="auto" w:fill="CFF0FC"/>
          </w:tcPr>
          <w:p>
            <w:pPr>
              <w:spacing w:after="0"/>
              <w:rPr>
                <w:sz w:val="14"/>
                <w:szCs w:val="14"/>
                <w:color w:val="auto"/>
              </w:rPr>
            </w:pPr>
          </w:p>
        </w:tc>
        <w:tc>
          <w:tcPr>
            <w:tcW w:w="16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7320" w:type="dxa"/>
            <w:vAlign w:val="bottom"/>
          </w:tcPr>
          <w:p>
            <w:pPr>
              <w:spacing w:after="0"/>
              <w:rPr>
                <w:sz w:val="20"/>
                <w:szCs w:val="20"/>
                <w:color w:val="auto"/>
              </w:rPr>
            </w:pPr>
            <w:r>
              <w:rPr>
                <w:rFonts w:ascii="Arial" w:cs="Arial" w:eastAsia="Arial" w:hAnsi="Arial"/>
                <w:sz w:val="14"/>
                <w:szCs w:val="14"/>
                <w:color w:val="auto"/>
              </w:rPr>
              <w:t>Gain on sale of assets</w:t>
            </w:r>
          </w:p>
        </w:tc>
        <w:tc>
          <w:tcPr>
            <w:tcW w:w="220" w:type="dxa"/>
            <w:vAlign w:val="bottom"/>
          </w:tcPr>
          <w:p>
            <w:pPr>
              <w:spacing w:after="0"/>
              <w:rPr>
                <w:sz w:val="14"/>
                <w:szCs w:val="14"/>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4"/>
                <w:szCs w:val="14"/>
                <w:color w:val="auto"/>
              </w:rPr>
              <w:t>(308)</w:t>
            </w:r>
          </w:p>
        </w:tc>
        <w:tc>
          <w:tcPr>
            <w:tcW w:w="240" w:type="dxa"/>
            <w:vAlign w:val="bottom"/>
          </w:tcPr>
          <w:p>
            <w:pPr>
              <w:spacing w:after="0"/>
              <w:rPr>
                <w:sz w:val="14"/>
                <w:szCs w:val="14"/>
                <w:color w:val="auto"/>
              </w:rPr>
            </w:pPr>
          </w:p>
        </w:tc>
        <w:tc>
          <w:tcPr>
            <w:tcW w:w="1660" w:type="dxa"/>
            <w:vAlign w:val="bottom"/>
            <w:gridSpan w:val="2"/>
          </w:tcPr>
          <w:p>
            <w:pPr>
              <w:jc w:val="right"/>
              <w:ind w:right="80"/>
              <w:spacing w:after="0"/>
              <w:rPr>
                <w:sz w:val="20"/>
                <w:szCs w:val="20"/>
                <w:color w:val="auto"/>
              </w:rPr>
            </w:pPr>
            <w:r>
              <w:rPr>
                <w:rFonts w:ascii="Arial" w:cs="Arial" w:eastAsia="Arial" w:hAnsi="Arial"/>
                <w:sz w:val="14"/>
                <w:szCs w:val="14"/>
                <w:color w:val="auto"/>
              </w:rPr>
              <w:t>(4,296)</w:t>
            </w:r>
          </w:p>
        </w:tc>
      </w:tr>
      <w:tr>
        <w:trPr>
          <w:trHeight w:val="162"/>
        </w:trPr>
        <w:tc>
          <w:tcPr>
            <w:tcW w:w="7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Deferred income taxes</w:t>
            </w:r>
          </w:p>
        </w:tc>
        <w:tc>
          <w:tcPr>
            <w:tcW w:w="220" w:type="dxa"/>
            <w:vAlign w:val="bottom"/>
            <w:tcBorders>
              <w:bottom w:val="single" w:sz="8" w:color="auto"/>
            </w:tcBorders>
            <w:shd w:val="clear" w:color="auto" w:fill="CFF0FC"/>
          </w:tcPr>
          <w:p>
            <w:pPr>
              <w:spacing w:after="0"/>
              <w:rPr>
                <w:sz w:val="14"/>
                <w:szCs w:val="14"/>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231</w:t>
            </w:r>
          </w:p>
        </w:tc>
        <w:tc>
          <w:tcPr>
            <w:tcW w:w="28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563</w:t>
            </w:r>
          </w:p>
        </w:tc>
        <w:tc>
          <w:tcPr>
            <w:tcW w:w="120" w:type="dxa"/>
            <w:vAlign w:val="bottom"/>
            <w:tcBorders>
              <w:bottom w:val="single" w:sz="8" w:color="CFF0FC"/>
            </w:tcBorders>
            <w:shd w:val="clear" w:color="auto" w:fill="CFF0FC"/>
          </w:tcPr>
          <w:p>
            <w:pPr>
              <w:spacing w:after="0"/>
              <w:rPr>
                <w:sz w:val="14"/>
                <w:szCs w:val="14"/>
                <w:color w:val="auto"/>
              </w:rPr>
            </w:pPr>
          </w:p>
        </w:tc>
      </w:tr>
      <w:tr>
        <w:trPr>
          <w:trHeight w:val="155"/>
        </w:trPr>
        <w:tc>
          <w:tcPr>
            <w:tcW w:w="7320" w:type="dxa"/>
            <w:vAlign w:val="bottom"/>
          </w:tcPr>
          <w:p>
            <w:pPr>
              <w:ind w:left="140"/>
              <w:spacing w:after="0" w:line="155" w:lineRule="exact"/>
              <w:rPr>
                <w:sz w:val="20"/>
                <w:szCs w:val="20"/>
                <w:color w:val="auto"/>
              </w:rPr>
            </w:pPr>
            <w:r>
              <w:rPr>
                <w:rFonts w:ascii="Arial" w:cs="Arial" w:eastAsia="Arial" w:hAnsi="Arial"/>
                <w:sz w:val="14"/>
                <w:szCs w:val="14"/>
                <w:color w:val="auto"/>
              </w:rPr>
              <w:t>Subtotal</w:t>
            </w:r>
          </w:p>
        </w:tc>
        <w:tc>
          <w:tcPr>
            <w:tcW w:w="220" w:type="dxa"/>
            <w:vAlign w:val="bottom"/>
          </w:tcPr>
          <w:p>
            <w:pPr>
              <w:spacing w:after="0"/>
              <w:rPr>
                <w:sz w:val="13"/>
                <w:szCs w:val="13"/>
                <w:color w:val="auto"/>
              </w:rPr>
            </w:pPr>
          </w:p>
        </w:tc>
        <w:tc>
          <w:tcPr>
            <w:tcW w:w="180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(4,401)</w:t>
            </w:r>
          </w:p>
        </w:tc>
        <w:tc>
          <w:tcPr>
            <w:tcW w:w="240" w:type="dxa"/>
            <w:vAlign w:val="bottom"/>
          </w:tcPr>
          <w:p>
            <w:pPr>
              <w:spacing w:after="0"/>
              <w:rPr>
                <w:sz w:val="13"/>
                <w:szCs w:val="13"/>
                <w:color w:val="auto"/>
              </w:rPr>
            </w:pPr>
          </w:p>
        </w:tc>
        <w:tc>
          <w:tcPr>
            <w:tcW w:w="16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(17,442)</w:t>
            </w:r>
          </w:p>
        </w:tc>
      </w:tr>
      <w:tr>
        <w:trPr>
          <w:trHeight w:val="162"/>
        </w:trPr>
        <w:tc>
          <w:tcPr>
            <w:tcW w:w="7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7320" w:type="dxa"/>
            <w:vAlign w:val="bottom"/>
          </w:tcPr>
          <w:p>
            <w:pPr>
              <w:spacing w:after="0"/>
              <w:rPr>
                <w:sz w:val="20"/>
                <w:szCs w:val="20"/>
                <w:color w:val="auto"/>
              </w:rPr>
            </w:pPr>
            <w:r>
              <w:rPr>
                <w:rFonts w:ascii="Arial" w:cs="Arial" w:eastAsia="Arial" w:hAnsi="Arial"/>
                <w:sz w:val="14"/>
                <w:szCs w:val="14"/>
                <w:color w:val="auto"/>
              </w:rPr>
              <w:t>Receivables, net</w:t>
            </w:r>
          </w:p>
        </w:tc>
        <w:tc>
          <w:tcPr>
            <w:tcW w:w="2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3,210</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2"/>
          </w:tcPr>
          <w:p>
            <w:pPr>
              <w:jc w:val="right"/>
              <w:ind w:right="80"/>
              <w:spacing w:after="0"/>
              <w:rPr>
                <w:sz w:val="20"/>
                <w:szCs w:val="20"/>
                <w:color w:val="auto"/>
              </w:rPr>
            </w:pPr>
            <w:r>
              <w:rPr>
                <w:rFonts w:ascii="Arial" w:cs="Arial" w:eastAsia="Arial" w:hAnsi="Arial"/>
                <w:sz w:val="14"/>
                <w:szCs w:val="14"/>
                <w:color w:val="auto"/>
              </w:rPr>
              <w:t>(1,757)</w:t>
            </w:r>
          </w:p>
        </w:tc>
      </w:tr>
      <w:tr>
        <w:trPr>
          <w:trHeight w:val="162"/>
        </w:trPr>
        <w:tc>
          <w:tcPr>
            <w:tcW w:w="7320" w:type="dxa"/>
            <w:vAlign w:val="bottom"/>
            <w:shd w:val="clear" w:color="auto" w:fill="CFF0FC"/>
          </w:tcPr>
          <w:p>
            <w:pPr>
              <w:spacing w:after="0"/>
              <w:rPr>
                <w:sz w:val="20"/>
                <w:szCs w:val="20"/>
                <w:color w:val="auto"/>
              </w:rPr>
            </w:pPr>
            <w:r>
              <w:rPr>
                <w:rFonts w:ascii="Arial" w:cs="Arial" w:eastAsia="Arial" w:hAnsi="Arial"/>
                <w:sz w:val="14"/>
                <w:szCs w:val="14"/>
                <w:color w:val="auto"/>
              </w:rPr>
              <w:t>Inventories</w:t>
            </w:r>
          </w:p>
        </w:tc>
        <w:tc>
          <w:tcPr>
            <w:tcW w:w="220" w:type="dxa"/>
            <w:vAlign w:val="bottom"/>
            <w:shd w:val="clear" w:color="auto" w:fill="CFF0FC"/>
          </w:tcPr>
          <w:p>
            <w:pPr>
              <w:spacing w:after="0"/>
              <w:rPr>
                <w:sz w:val="14"/>
                <w:szCs w:val="14"/>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21,185</w:t>
            </w: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(753)</w:t>
            </w:r>
          </w:p>
        </w:tc>
      </w:tr>
      <w:tr>
        <w:trPr>
          <w:trHeight w:val="162"/>
        </w:trPr>
        <w:tc>
          <w:tcPr>
            <w:tcW w:w="7320" w:type="dxa"/>
            <w:vAlign w:val="bottom"/>
          </w:tcPr>
          <w:p>
            <w:pPr>
              <w:spacing w:after="0"/>
              <w:rPr>
                <w:sz w:val="20"/>
                <w:szCs w:val="20"/>
                <w:color w:val="auto"/>
              </w:rPr>
            </w:pPr>
            <w:r>
              <w:rPr>
                <w:rFonts w:ascii="Arial" w:cs="Arial" w:eastAsia="Arial" w:hAnsi="Arial"/>
                <w:sz w:val="14"/>
                <w:szCs w:val="14"/>
                <w:color w:val="auto"/>
              </w:rPr>
              <w:t>Accounts payable and other current liabilities</w:t>
            </w:r>
          </w:p>
        </w:tc>
        <w:tc>
          <w:tcPr>
            <w:tcW w:w="220" w:type="dxa"/>
            <w:vAlign w:val="bottom"/>
          </w:tcPr>
          <w:p>
            <w:pPr>
              <w:spacing w:after="0"/>
              <w:rPr>
                <w:sz w:val="14"/>
                <w:szCs w:val="14"/>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4"/>
                <w:szCs w:val="14"/>
                <w:color w:val="auto"/>
              </w:rPr>
              <w:t>(3,359)</w:t>
            </w:r>
          </w:p>
        </w:tc>
        <w:tc>
          <w:tcPr>
            <w:tcW w:w="24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4"/>
                <w:szCs w:val="14"/>
                <w:color w:val="auto"/>
              </w:rPr>
            </w:pPr>
          </w:p>
        </w:tc>
      </w:tr>
      <w:tr>
        <w:trPr>
          <w:trHeight w:val="162"/>
        </w:trPr>
        <w:tc>
          <w:tcPr>
            <w:tcW w:w="7320" w:type="dxa"/>
            <w:vAlign w:val="bottom"/>
            <w:shd w:val="clear" w:color="auto" w:fill="CFF0FC"/>
          </w:tcPr>
          <w:p>
            <w:pPr>
              <w:spacing w:after="0"/>
              <w:rPr>
                <w:sz w:val="20"/>
                <w:szCs w:val="20"/>
                <w:color w:val="auto"/>
              </w:rPr>
            </w:pPr>
            <w:r>
              <w:rPr>
                <w:rFonts w:ascii="Arial" w:cs="Arial" w:eastAsia="Arial" w:hAnsi="Arial"/>
                <w:sz w:val="14"/>
                <w:szCs w:val="14"/>
                <w:color w:val="auto"/>
              </w:rPr>
              <w:t>Other changes</w:t>
            </w:r>
          </w:p>
        </w:tc>
        <w:tc>
          <w:tcPr>
            <w:tcW w:w="220" w:type="dxa"/>
            <w:vAlign w:val="bottom"/>
            <w:shd w:val="clear" w:color="auto" w:fill="CFF0FC"/>
          </w:tcPr>
          <w:p>
            <w:pPr>
              <w:spacing w:after="0"/>
              <w:rPr>
                <w:sz w:val="14"/>
                <w:szCs w:val="14"/>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7,758</w:t>
            </w: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(2,062)</w:t>
            </w:r>
          </w:p>
        </w:tc>
      </w:tr>
      <w:tr>
        <w:trPr>
          <w:trHeight w:val="20"/>
        </w:trPr>
        <w:tc>
          <w:tcPr>
            <w:tcW w:w="73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56"/>
        </w:trPr>
        <w:tc>
          <w:tcPr>
            <w:tcW w:w="7320" w:type="dxa"/>
            <w:vAlign w:val="bottom"/>
          </w:tcPr>
          <w:p>
            <w:pPr>
              <w:spacing w:after="0" w:line="155" w:lineRule="exact"/>
              <w:rPr>
                <w:sz w:val="20"/>
                <w:szCs w:val="20"/>
                <w:color w:val="auto"/>
              </w:rPr>
            </w:pPr>
            <w:r>
              <w:rPr>
                <w:rFonts w:ascii="Arial" w:cs="Arial" w:eastAsia="Arial" w:hAnsi="Arial"/>
                <w:sz w:val="14"/>
                <w:szCs w:val="14"/>
                <w:color w:val="auto"/>
              </w:rPr>
              <w:t>Net cash provided (used) by operating activities</w:t>
            </w:r>
          </w:p>
        </w:tc>
        <w:tc>
          <w:tcPr>
            <w:tcW w:w="220" w:type="dxa"/>
            <w:vAlign w:val="bottom"/>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520" w:type="dxa"/>
            <w:vAlign w:val="bottom"/>
          </w:tcPr>
          <w:p>
            <w:pPr>
              <w:jc w:val="right"/>
              <w:spacing w:after="0" w:line="155" w:lineRule="exact"/>
              <w:rPr>
                <w:sz w:val="20"/>
                <w:szCs w:val="20"/>
                <w:color w:val="auto"/>
              </w:rPr>
            </w:pPr>
            <w:r>
              <w:rPr>
                <w:rFonts w:ascii="Arial" w:cs="Arial" w:eastAsia="Arial" w:hAnsi="Arial"/>
                <w:sz w:val="14"/>
                <w:szCs w:val="14"/>
                <w:color w:val="auto"/>
              </w:rPr>
              <w:t>24,393</w:t>
            </w:r>
          </w:p>
        </w:tc>
        <w:tc>
          <w:tcPr>
            <w:tcW w:w="280" w:type="dxa"/>
            <w:vAlign w:val="bottom"/>
          </w:tcPr>
          <w:p>
            <w:pPr>
              <w:spacing w:after="0"/>
              <w:rPr>
                <w:sz w:val="13"/>
                <w:szCs w:val="13"/>
                <w:color w:val="auto"/>
              </w:rPr>
            </w:pPr>
          </w:p>
        </w:tc>
        <w:tc>
          <w:tcPr>
            <w:tcW w:w="240" w:type="dxa"/>
            <w:vAlign w:val="bottom"/>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16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(19,994)</w:t>
            </w:r>
          </w:p>
        </w:tc>
      </w:tr>
      <w:tr>
        <w:trPr>
          <w:trHeight w:val="20"/>
        </w:trPr>
        <w:tc>
          <w:tcPr>
            <w:tcW w:w="7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-762000</wp:posOffset>
            </wp:positionV>
            <wp:extent cx="685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-762000</wp:posOffset>
            </wp:positionV>
            <wp:extent cx="7747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-136525</wp:posOffset>
            </wp:positionV>
            <wp:extent cx="685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-136525</wp:posOffset>
            </wp:positionV>
            <wp:extent cx="7747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19" w:lineRule="exact"/>
        <w:rPr>
          <w:sz w:val="20"/>
          <w:szCs w:val="20"/>
          <w:color w:val="auto"/>
        </w:rPr>
      </w:pPr>
    </w:p>
    <w:p>
      <w:pPr>
        <w:jc w:val="both"/>
        <w:ind w:right="20"/>
        <w:spacing w:after="0" w:line="285" w:lineRule="auto"/>
        <w:rPr>
          <w:sz w:val="20"/>
          <w:szCs w:val="20"/>
          <w:color w:val="auto"/>
        </w:rPr>
      </w:pPr>
      <w:r>
        <w:rPr>
          <w:rFonts w:ascii="Arial" w:cs="Arial" w:eastAsia="Arial" w:hAnsi="Arial"/>
          <w:sz w:val="14"/>
          <w:szCs w:val="14"/>
          <w:color w:val="auto"/>
        </w:rPr>
        <w:t>The change in operating cash flows was primarily due to the an improvement in gross profit and reduction of working capital balances during the current nine-month period compared to the prior nine-month period.</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For the current nine-month period, the decrease in accounts receivable was largely driven by a decrease in sales and the timing of cash receipts. The decrease in inventories and accounts payable was driven by concerted efforts to reduce inventory levels in response to the lower demand environment. The decrease in other current liabilities was largely due to the payment of incentive compensation liabilities. Other changes comprise mostly decreases in income tax receivables and other current assets due to the utilization of tax credits, an income tax refund, and lower vendor deposits in Brazil.</w:t>
      </w:r>
    </w:p>
    <w:p>
      <w:pPr>
        <w:spacing w:after="0" w:line="123" w:lineRule="exact"/>
        <w:rPr>
          <w:sz w:val="20"/>
          <w:szCs w:val="20"/>
          <w:color w:val="auto"/>
        </w:rPr>
      </w:pPr>
    </w:p>
    <w:p>
      <w:pPr>
        <w:jc w:val="both"/>
        <w:ind w:right="20"/>
        <w:spacing w:after="0" w:line="285" w:lineRule="auto"/>
        <w:rPr>
          <w:sz w:val="20"/>
          <w:szCs w:val="20"/>
          <w:color w:val="auto"/>
        </w:rPr>
      </w:pPr>
      <w:r>
        <w:rPr>
          <w:rFonts w:ascii="Arial" w:cs="Arial" w:eastAsia="Arial" w:hAnsi="Arial"/>
          <w:sz w:val="14"/>
          <w:szCs w:val="14"/>
          <w:color w:val="auto"/>
        </w:rPr>
        <w:t>For the prior nine-month period, the increases in accounts receivable and inventories were largely driven by the improvement in sales and timing of cash receipts. The increase in accounts payable and other current liabilities was largely due to increased accruals for employee compensation.</w:t>
      </w:r>
    </w:p>
    <w:p>
      <w:pPr>
        <w:spacing w:after="0" w:line="2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Investing Cash Flows</w:t>
      </w:r>
    </w:p>
    <w:p>
      <w:pPr>
        <w:spacing w:after="0" w:line="109"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Investing activities primarily include $3,872 for capital expenditures. UNIFI expects future capital projects to primarily include routine maintenance requirements related to its existing machinery and equipment.</w:t>
      </w:r>
    </w:p>
    <w:p>
      <w:pPr>
        <w:spacing w:after="0" w:line="2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Financing Cash Flows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Financing activities primarily include principal payments on the ABL Term Loan and finance leases.</w:t>
      </w: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Share Repurchase Program</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As described in Note 7, “Shareholders’ Equity,” no share repurchases have been completed in fiscal 2026.</w:t>
      </w: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Contractual Obligations</w:t>
      </w:r>
    </w:p>
    <w:p>
      <w:pPr>
        <w:spacing w:after="0" w:line="109" w:lineRule="exact"/>
        <w:rPr>
          <w:sz w:val="20"/>
          <w:szCs w:val="20"/>
          <w:color w:val="auto"/>
        </w:rPr>
      </w:pPr>
    </w:p>
    <w:p>
      <w:pPr>
        <w:jc w:val="both"/>
        <w:ind w:right="20"/>
        <w:spacing w:after="0" w:line="285" w:lineRule="auto"/>
        <w:rPr>
          <w:sz w:val="20"/>
          <w:szCs w:val="20"/>
          <w:color w:val="auto"/>
        </w:rPr>
      </w:pPr>
      <w:r>
        <w:rPr>
          <w:rFonts w:ascii="Arial" w:cs="Arial" w:eastAsia="Arial" w:hAnsi="Arial"/>
          <w:sz w:val="14"/>
          <w:szCs w:val="14"/>
          <w:color w:val="auto"/>
        </w:rPr>
        <w:t>UNIFI incurs various financial obligations and commitments in the ordinary course of business. Financial obligations are considered to represent known future cash payments that UNIFI is required to make under existing contractual arrangements, such as debt and lease agreements.</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Except for the $4,048 of new finance leases that commenced during the nine months ended March 29, 2026, there have been no material changes in the scheduled maturities of UNIFI’s contractual obligations as disclosed under the heading “Contractual Obligations” in “Item 7. Management’s Discussion and Analysis of Financial Condition and Results of Operations” in the 2025 Form 10-K.</w:t>
      </w: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Off-Balance Sheet Arrangements</w:t>
      </w:r>
    </w:p>
    <w:p>
      <w:pPr>
        <w:spacing w:after="0" w:line="109" w:lineRule="exact"/>
        <w:rPr>
          <w:sz w:val="20"/>
          <w:szCs w:val="20"/>
          <w:color w:val="auto"/>
        </w:rPr>
      </w:pPr>
    </w:p>
    <w:p>
      <w:pPr>
        <w:jc w:val="both"/>
        <w:ind w:right="20"/>
        <w:spacing w:after="0" w:line="285" w:lineRule="auto"/>
        <w:rPr>
          <w:sz w:val="20"/>
          <w:szCs w:val="20"/>
          <w:color w:val="auto"/>
        </w:rPr>
      </w:pPr>
      <w:r>
        <w:rPr>
          <w:rFonts w:ascii="Arial" w:cs="Arial" w:eastAsia="Arial" w:hAnsi="Arial"/>
          <w:sz w:val="14"/>
          <w:szCs w:val="14"/>
          <w:color w:val="auto"/>
        </w:rPr>
        <w:t>UNIFI is not a party to any off-balance sheet arrangements that have, or are reasonably likely to have, a current or future material effect on UNIFI’s financial condition, results of operations, liquidity, or capital expenditures.</w:t>
      </w:r>
    </w:p>
    <w:p>
      <w:pPr>
        <w:spacing w:after="0" w:line="2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UNIFI’s critical accounting policies are discussed in the 2025 Form 10-K. There have been no changes to UNIFI’s critical accounting policies in fiscal 2026.</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b w:val="1"/>
          <w:bCs w:val="1"/>
          <w:color w:val="auto"/>
        </w:rPr>
        <w:t>Item 3. Quantitative and Qualitative Disclosures About Market Risk</w:t>
      </w:r>
    </w:p>
    <w:p>
      <w:pPr>
        <w:spacing w:after="0" w:line="109" w:lineRule="exact"/>
        <w:rPr>
          <w:sz w:val="20"/>
          <w:szCs w:val="20"/>
          <w:color w:val="auto"/>
        </w:rPr>
      </w:pPr>
    </w:p>
    <w:p>
      <w:pPr>
        <w:jc w:val="both"/>
        <w:ind w:right="20"/>
        <w:spacing w:after="0" w:line="263" w:lineRule="auto"/>
        <w:rPr>
          <w:sz w:val="20"/>
          <w:szCs w:val="20"/>
          <w:color w:val="auto"/>
        </w:rPr>
      </w:pPr>
      <w:r>
        <w:rPr>
          <w:rFonts w:ascii="Arial" w:cs="Arial" w:eastAsia="Arial" w:hAnsi="Arial"/>
          <w:sz w:val="14"/>
          <w:szCs w:val="14"/>
          <w:color w:val="auto"/>
        </w:rPr>
        <w:t>UNIFI is exposed to market risks associated with changes in interest rates, fluctuations in foreign currency exchange rates, and raw material and commodity costs, which may adversely affect its financial position, results of operations, or cash flows. UNIFI does not enter into derivative financial instruments for trading purposes, nor is it a party to any leveraged financial instruments.</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 Rate Risk</w:t>
      </w:r>
    </w:p>
    <w:p>
      <w:pPr>
        <w:spacing w:after="0" w:line="107"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UNIFI is exposed to interest rate risk through its borrowing activities. As of March 29, 2026, UNIFI had borrowings under the 2022 ABL Term Facility and 2024 Facility that totaled $85,300. UNIFI’s sensitivity analysis indicates that a 50-basis point interest rate increase as of March 29, 2026 would result in an increase in annual interest expense of approximately $400.</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Currency Exchange Rate Risk</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A complete discussion of foreign currency exchange rate risk is included in the 2025 Form 10-K and is supplemented by the following disclosures.</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As of March 29, 2026, UNIFI had no outstanding foreign currency forward contracts. As of March 29, 2026, foreign currency exchange rate risk positions included the following: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Approximate</w:t>
            </w:r>
          </w:p>
        </w:tc>
      </w:tr>
      <w:tr>
        <w:trPr>
          <w:trHeight w:val="162"/>
        </w:trPr>
        <w:tc>
          <w:tcPr>
            <w:tcW w:w="9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Amount or</w:t>
            </w:r>
          </w:p>
        </w:tc>
      </w:tr>
      <w:tr>
        <w:trPr>
          <w:trHeight w:val="171"/>
        </w:trPr>
        <w:tc>
          <w:tcPr>
            <w:tcW w:w="9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Percentage</w:t>
            </w:r>
          </w:p>
        </w:tc>
      </w:tr>
      <w:tr>
        <w:trPr>
          <w:trHeight w:val="146"/>
        </w:trPr>
        <w:tc>
          <w:tcPr>
            <w:tcW w:w="9400" w:type="dxa"/>
            <w:vAlign w:val="bottom"/>
            <w:shd w:val="clear" w:color="auto" w:fill="CFF0FC"/>
          </w:tcPr>
          <w:p>
            <w:pPr>
              <w:spacing w:after="0" w:line="147" w:lineRule="exact"/>
              <w:rPr>
                <w:sz w:val="20"/>
                <w:szCs w:val="20"/>
                <w:color w:val="auto"/>
              </w:rPr>
            </w:pPr>
            <w:r>
              <w:rPr>
                <w:rFonts w:ascii="Arial" w:cs="Arial" w:eastAsia="Arial" w:hAnsi="Arial"/>
                <w:sz w:val="14"/>
                <w:szCs w:val="14"/>
                <w:color w:val="auto"/>
              </w:rPr>
              <w:t>Percentage of total consolidated assets held by UNIFI's subsidiaries outside the U.S. whose functional currency</w:t>
            </w:r>
          </w:p>
        </w:tc>
        <w:tc>
          <w:tcPr>
            <w:tcW w:w="240" w:type="dxa"/>
            <w:vAlign w:val="bottom"/>
            <w:tcBorders>
              <w:top w:val="single" w:sz="8" w:color="auto"/>
            </w:tcBorders>
            <w:shd w:val="clear" w:color="auto" w:fill="CFF0FC"/>
          </w:tcPr>
          <w:p>
            <w:pPr>
              <w:spacing w:after="0"/>
              <w:rPr>
                <w:sz w:val="12"/>
                <w:szCs w:val="12"/>
                <w:color w:val="auto"/>
              </w:rPr>
            </w:pPr>
          </w:p>
        </w:tc>
        <w:tc>
          <w:tcPr>
            <w:tcW w:w="1460" w:type="dxa"/>
            <w:vAlign w:val="bottom"/>
            <w:tcBorders>
              <w:top w:val="single" w:sz="8" w:color="auto"/>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r>
      <w:tr>
        <w:trPr>
          <w:trHeight w:val="171"/>
        </w:trPr>
        <w:tc>
          <w:tcPr>
            <w:tcW w:w="94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is not the USD</w:t>
            </w:r>
          </w:p>
        </w:tc>
        <w:tc>
          <w:tcPr>
            <w:tcW w:w="240" w:type="dxa"/>
            <w:vAlign w:val="bottom"/>
            <w:shd w:val="clear" w:color="auto" w:fill="CFF0FC"/>
          </w:tcPr>
          <w:p>
            <w:pPr>
              <w:spacing w:after="0"/>
              <w:rPr>
                <w:sz w:val="14"/>
                <w:szCs w:val="14"/>
                <w:color w:val="auto"/>
              </w:rPr>
            </w:pPr>
          </w:p>
        </w:tc>
        <w:tc>
          <w:tcPr>
            <w:tcW w:w="16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33.7%</w:t>
            </w:r>
          </w:p>
        </w:tc>
      </w:tr>
      <w:tr>
        <w:trPr>
          <w:trHeight w:val="162"/>
        </w:trPr>
        <w:tc>
          <w:tcPr>
            <w:tcW w:w="9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9400" w:type="dxa"/>
            <w:vAlign w:val="bottom"/>
            <w:shd w:val="clear" w:color="auto" w:fill="CFF0FC"/>
          </w:tcPr>
          <w:p>
            <w:pPr>
              <w:spacing w:after="0"/>
              <w:rPr>
                <w:sz w:val="20"/>
                <w:szCs w:val="20"/>
                <w:color w:val="auto"/>
              </w:rPr>
            </w:pPr>
            <w:r>
              <w:rPr>
                <w:rFonts w:ascii="Arial" w:cs="Arial" w:eastAsia="Arial" w:hAnsi="Arial"/>
                <w:sz w:val="14"/>
                <w:szCs w:val="14"/>
                <w:color w:val="auto"/>
              </w:rPr>
              <w:t>Cash and cash equivalents held outside the U.S.:</w:t>
            </w:r>
          </w:p>
        </w:tc>
        <w:tc>
          <w:tcPr>
            <w:tcW w:w="24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r>
      <w:tr>
        <w:trPr>
          <w:trHeight w:val="162"/>
        </w:trPr>
        <w:tc>
          <w:tcPr>
            <w:tcW w:w="9400" w:type="dxa"/>
            <w:vAlign w:val="bottom"/>
          </w:tcPr>
          <w:p>
            <w:pPr>
              <w:ind w:left="120"/>
              <w:spacing w:after="0"/>
              <w:rPr>
                <w:sz w:val="20"/>
                <w:szCs w:val="20"/>
                <w:color w:val="auto"/>
              </w:rPr>
            </w:pPr>
            <w:r>
              <w:rPr>
                <w:rFonts w:ascii="Arial" w:cs="Arial" w:eastAsia="Arial" w:hAnsi="Arial"/>
                <w:sz w:val="14"/>
                <w:szCs w:val="14"/>
                <w:color w:val="auto"/>
              </w:rPr>
              <w:t>Denominated in USD</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15,437</w:t>
            </w:r>
          </w:p>
        </w:tc>
        <w:tc>
          <w:tcPr>
            <w:tcW w:w="140" w:type="dxa"/>
            <w:vAlign w:val="bottom"/>
          </w:tcPr>
          <w:p>
            <w:pPr>
              <w:spacing w:after="0"/>
              <w:rPr>
                <w:sz w:val="14"/>
                <w:szCs w:val="14"/>
                <w:color w:val="auto"/>
              </w:rPr>
            </w:pPr>
          </w:p>
        </w:tc>
      </w:tr>
      <w:tr>
        <w:trPr>
          <w:trHeight w:val="162"/>
        </w:trPr>
        <w:tc>
          <w:tcPr>
            <w:tcW w:w="94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Denominated in RMB</w:t>
            </w:r>
          </w:p>
        </w:tc>
        <w:tc>
          <w:tcPr>
            <w:tcW w:w="24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656</w:t>
            </w:r>
          </w:p>
        </w:tc>
        <w:tc>
          <w:tcPr>
            <w:tcW w:w="140" w:type="dxa"/>
            <w:vAlign w:val="bottom"/>
            <w:shd w:val="clear" w:color="auto" w:fill="CFF0FC"/>
          </w:tcPr>
          <w:p>
            <w:pPr>
              <w:spacing w:after="0"/>
              <w:rPr>
                <w:sz w:val="14"/>
                <w:szCs w:val="14"/>
                <w:color w:val="auto"/>
              </w:rPr>
            </w:pPr>
          </w:p>
        </w:tc>
      </w:tr>
      <w:tr>
        <w:trPr>
          <w:trHeight w:val="162"/>
        </w:trPr>
        <w:tc>
          <w:tcPr>
            <w:tcW w:w="9400" w:type="dxa"/>
            <w:vAlign w:val="bottom"/>
          </w:tcPr>
          <w:p>
            <w:pPr>
              <w:ind w:left="120"/>
              <w:spacing w:after="0"/>
              <w:rPr>
                <w:sz w:val="20"/>
                <w:szCs w:val="20"/>
                <w:color w:val="auto"/>
              </w:rPr>
            </w:pPr>
            <w:r>
              <w:rPr>
                <w:rFonts w:ascii="Arial" w:cs="Arial" w:eastAsia="Arial" w:hAnsi="Arial"/>
                <w:sz w:val="14"/>
                <w:szCs w:val="14"/>
                <w:color w:val="auto"/>
              </w:rPr>
              <w:t>Denominated in BRL</w:t>
            </w:r>
          </w:p>
        </w:tc>
        <w:tc>
          <w:tcPr>
            <w:tcW w:w="2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9,261</w:t>
            </w:r>
          </w:p>
        </w:tc>
        <w:tc>
          <w:tcPr>
            <w:tcW w:w="140" w:type="dxa"/>
            <w:vAlign w:val="bottom"/>
          </w:tcPr>
          <w:p>
            <w:pPr>
              <w:spacing w:after="0"/>
              <w:rPr>
                <w:sz w:val="14"/>
                <w:szCs w:val="14"/>
                <w:color w:val="auto"/>
              </w:rPr>
            </w:pPr>
          </w:p>
        </w:tc>
      </w:tr>
      <w:tr>
        <w:trPr>
          <w:trHeight w:val="162"/>
        </w:trPr>
        <w:tc>
          <w:tcPr>
            <w:tcW w:w="94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Denominated in other foreign currencies</w:t>
            </w:r>
          </w:p>
        </w:tc>
        <w:tc>
          <w:tcPr>
            <w:tcW w:w="24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712</w:t>
            </w:r>
          </w:p>
        </w:tc>
        <w:tc>
          <w:tcPr>
            <w:tcW w:w="140" w:type="dxa"/>
            <w:vAlign w:val="bottom"/>
            <w:tcBorders>
              <w:bottom w:val="single" w:sz="8" w:color="CFF0FC"/>
            </w:tcBorders>
            <w:shd w:val="clear" w:color="auto" w:fill="CFF0FC"/>
          </w:tcPr>
          <w:p>
            <w:pPr>
              <w:spacing w:after="0"/>
              <w:rPr>
                <w:sz w:val="14"/>
                <w:szCs w:val="14"/>
                <w:color w:val="auto"/>
              </w:rPr>
            </w:pPr>
          </w:p>
        </w:tc>
      </w:tr>
      <w:tr>
        <w:trPr>
          <w:trHeight w:val="156"/>
        </w:trPr>
        <w:tc>
          <w:tcPr>
            <w:tcW w:w="9400" w:type="dxa"/>
            <w:vAlign w:val="bottom"/>
          </w:tcPr>
          <w:p>
            <w:pPr>
              <w:spacing w:after="0" w:line="155" w:lineRule="exact"/>
              <w:rPr>
                <w:sz w:val="20"/>
                <w:szCs w:val="20"/>
                <w:color w:val="auto"/>
              </w:rPr>
            </w:pPr>
            <w:r>
              <w:rPr>
                <w:rFonts w:ascii="Arial" w:cs="Arial" w:eastAsia="Arial" w:hAnsi="Arial"/>
                <w:sz w:val="14"/>
                <w:szCs w:val="14"/>
                <w:color w:val="auto"/>
              </w:rPr>
              <w:t>Total cash and cash equivalents held outside the U.S.</w:t>
            </w:r>
          </w:p>
        </w:tc>
        <w:tc>
          <w:tcPr>
            <w:tcW w:w="240" w:type="dxa"/>
            <w:vAlign w:val="bottom"/>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460" w:type="dxa"/>
            <w:vAlign w:val="bottom"/>
          </w:tcPr>
          <w:p>
            <w:pPr>
              <w:jc w:val="right"/>
              <w:spacing w:after="0" w:line="155" w:lineRule="exact"/>
              <w:rPr>
                <w:sz w:val="20"/>
                <w:szCs w:val="20"/>
                <w:color w:val="auto"/>
              </w:rPr>
            </w:pPr>
            <w:r>
              <w:rPr>
                <w:rFonts w:ascii="Arial" w:cs="Arial" w:eastAsia="Arial" w:hAnsi="Arial"/>
                <w:sz w:val="14"/>
                <w:szCs w:val="14"/>
                <w:color w:val="auto"/>
              </w:rPr>
              <w:t>26,066</w:t>
            </w:r>
          </w:p>
        </w:tc>
        <w:tc>
          <w:tcPr>
            <w:tcW w:w="140" w:type="dxa"/>
            <w:vAlign w:val="bottom"/>
          </w:tcPr>
          <w:p>
            <w:pPr>
              <w:spacing w:after="0"/>
              <w:rPr>
                <w:sz w:val="13"/>
                <w:szCs w:val="13"/>
                <w:color w:val="auto"/>
              </w:rPr>
            </w:pPr>
          </w:p>
        </w:tc>
      </w:tr>
      <w:tr>
        <w:trPr>
          <w:trHeight w:val="162"/>
        </w:trPr>
        <w:tc>
          <w:tcPr>
            <w:tcW w:w="9400" w:type="dxa"/>
            <w:vAlign w:val="bottom"/>
            <w:shd w:val="clear" w:color="auto" w:fill="CFF0FC"/>
          </w:tcPr>
          <w:p>
            <w:pPr>
              <w:spacing w:after="0"/>
              <w:rPr>
                <w:sz w:val="20"/>
                <w:szCs w:val="20"/>
                <w:color w:val="auto"/>
              </w:rPr>
            </w:pPr>
            <w:r>
              <w:rPr>
                <w:rFonts w:ascii="Arial" w:cs="Arial" w:eastAsia="Arial" w:hAnsi="Arial"/>
                <w:sz w:val="14"/>
                <w:szCs w:val="14"/>
                <w:color w:val="auto"/>
              </w:rPr>
              <w:t>Percentage of total cash and cash equivalents held outside the U.S.</w:t>
            </w:r>
          </w:p>
        </w:tc>
        <w:tc>
          <w:tcPr>
            <w:tcW w:w="240" w:type="dxa"/>
            <w:vAlign w:val="bottom"/>
            <w:shd w:val="clear" w:color="auto" w:fill="CFF0FC"/>
          </w:tcPr>
          <w:p>
            <w:pPr>
              <w:spacing w:after="0"/>
              <w:rPr>
                <w:sz w:val="14"/>
                <w:szCs w:val="14"/>
                <w:color w:val="auto"/>
              </w:rPr>
            </w:pPr>
          </w:p>
        </w:tc>
        <w:tc>
          <w:tcPr>
            <w:tcW w:w="16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98.1%</w:t>
            </w:r>
          </w:p>
        </w:tc>
      </w:tr>
      <w:tr>
        <w:trPr>
          <w:trHeight w:val="162"/>
        </w:trPr>
        <w:tc>
          <w:tcPr>
            <w:tcW w:w="9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9400" w:type="dxa"/>
            <w:vAlign w:val="bottom"/>
            <w:shd w:val="clear" w:color="auto" w:fill="CFF0FC"/>
          </w:tcPr>
          <w:p>
            <w:pPr>
              <w:spacing w:after="0"/>
              <w:rPr>
                <w:sz w:val="20"/>
                <w:szCs w:val="20"/>
                <w:color w:val="auto"/>
              </w:rPr>
            </w:pPr>
            <w:r>
              <w:rPr>
                <w:rFonts w:ascii="Arial" w:cs="Arial" w:eastAsia="Arial" w:hAnsi="Arial"/>
                <w:sz w:val="14"/>
                <w:szCs w:val="14"/>
                <w:color w:val="auto"/>
              </w:rPr>
              <w:t>Cash and cash equivalents held inside the U.S. in USD by foreign subsidiaries</w:t>
            </w: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451</w:t>
            </w:r>
          </w:p>
        </w:tc>
        <w:tc>
          <w:tcPr>
            <w:tcW w:w="140" w:type="dxa"/>
            <w:vAlign w:val="bottom"/>
            <w:shd w:val="clear" w:color="auto" w:fill="CFF0FC"/>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7042785</wp:posOffset>
            </wp:positionH>
            <wp:positionV relativeFrom="paragraph">
              <wp:posOffset>-419735</wp:posOffset>
            </wp:positionV>
            <wp:extent cx="9398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Raw Material and Commodity Cost Risks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A complete discussion of raw material and commodity cost risks is included in the 2025 Form 10-K.</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Risks</w:t>
      </w:r>
    </w:p>
    <w:p>
      <w:pPr>
        <w:spacing w:after="0" w:line="107"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UNIFI is also exposed to geopolitical risk, including changing laws and regulations governing international trade, such as quotas, tariffs, and tax laws. The degree of impact and the frequency of these events cannot be predicted.</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Controls and Procedures</w:t>
      </w:r>
    </w:p>
    <w:p>
      <w:pPr>
        <w:spacing w:after="0" w:line="109" w:lineRule="exact"/>
        <w:rPr>
          <w:sz w:val="20"/>
          <w:szCs w:val="20"/>
          <w:color w:val="auto"/>
        </w:rPr>
      </w:pPr>
    </w:p>
    <w:p>
      <w:pPr>
        <w:jc w:val="both"/>
        <w:spacing w:after="0" w:line="248" w:lineRule="auto"/>
        <w:rPr>
          <w:sz w:val="20"/>
          <w:szCs w:val="20"/>
          <w:color w:val="auto"/>
        </w:rPr>
      </w:pPr>
      <w:r>
        <w:rPr>
          <w:rFonts w:ascii="Arial" w:cs="Arial" w:eastAsia="Arial" w:hAnsi="Arial"/>
          <w:sz w:val="14"/>
          <w:szCs w:val="14"/>
          <w:color w:val="auto"/>
        </w:rPr>
        <w:t>As of March 29, 2026, an evaluation of the effectiveness of UNIFI’s disclosure controls and procedures (as defined in Rules 13a-15(e) and 15d-15(e) promulgated under the Securities Exchange Act of 1934, as amended (the “Exchange Act”)) was performed under the supervision and with the participation of UNIFI’s management, including the principal executive officer and the principal financial officer. Based on that evaluation, UNIFI’s principal executive officer and principal financial officer concluded that UNIFI’s disclosure controls and procedures are effective to ensure that information required to be disclosed by UNIFI in its reports that it files or submits under the Exchange Act is recorded, processed, summarized, and reported within the time periods specified in the SEC rules and forms, and that information required to be disclosed by UNIFI in the reports UNIFI files or submits under the Exchange Act is accumulated and communicated to UNIFI’s management, including its principal executive officer and its principal financial officer, as appropriate to allow timely decisions regarding required disclosure.</w:t>
      </w:r>
    </w:p>
    <w:p>
      <w:pPr>
        <w:spacing w:after="0" w:line="185" w:lineRule="exact"/>
        <w:rPr>
          <w:sz w:val="20"/>
          <w:szCs w:val="20"/>
          <w:color w:val="auto"/>
        </w:rPr>
      </w:pPr>
    </w:p>
    <w:p>
      <w:pPr>
        <w:jc w:val="both"/>
        <w:ind w:right="20"/>
        <w:spacing w:after="0" w:line="285" w:lineRule="auto"/>
        <w:rPr>
          <w:sz w:val="20"/>
          <w:szCs w:val="20"/>
          <w:color w:val="auto"/>
        </w:rPr>
      </w:pPr>
      <w:r>
        <w:rPr>
          <w:rFonts w:ascii="Arial" w:cs="Arial" w:eastAsia="Arial" w:hAnsi="Arial"/>
          <w:sz w:val="14"/>
          <w:szCs w:val="14"/>
          <w:color w:val="auto"/>
        </w:rPr>
        <w:t>There were no changes in UNIFI’s internal control over financial reporting during the three months ended March 29, 2026 that have materially affected, or are reasonably likely to materially affect, UNIFI’s internal control over financial reporting.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8"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4"/>
          <w:szCs w:val="14"/>
          <w:b w:val="1"/>
          <w:bCs w:val="1"/>
          <w:color w:val="auto"/>
        </w:rPr>
        <w:t>PART II—OTHER INFORMATION</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Legal Proceedings</w:t>
      </w:r>
    </w:p>
    <w:p>
      <w:pPr>
        <w:spacing w:after="0" w:line="109"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We are from time to time a party to various lawsuits, claims, and other legal proceedings that arise in the ordinary course of business. With respect to all such lawsuits, claims, and proceedings, we record reserves when it is probable a liability has been incurred and the amount of loss can be reasonably estimated. We do not believe that any of these proceedings, individually or in the aggregate, would be expected to have a material adverse effect on our results of operations, financial position, or cash flows. We maintain liability insurance for certain risks that is subject to certain self-insurance limits.</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1A. Risk Factors</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There have been no material changes in UNIFI’s risk factors from those included in “Item 1A. Risk Factors” in the 2025 Form 10-K.</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5. Other Information</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Insider Trading Arrangements</w:t>
      </w:r>
    </w:p>
    <w:p>
      <w:pPr>
        <w:spacing w:after="0" w:line="215" w:lineRule="exact"/>
        <w:rPr>
          <w:sz w:val="20"/>
          <w:szCs w:val="20"/>
          <w:color w:val="auto"/>
        </w:rPr>
      </w:pPr>
    </w:p>
    <w:p>
      <w:pPr>
        <w:jc w:val="both"/>
        <w:ind w:right="20"/>
        <w:spacing w:after="0" w:line="285" w:lineRule="auto"/>
        <w:rPr>
          <w:sz w:val="20"/>
          <w:szCs w:val="20"/>
          <w:color w:val="auto"/>
        </w:rPr>
      </w:pPr>
      <w:r>
        <w:rPr>
          <w:rFonts w:ascii="Arial" w:cs="Arial" w:eastAsia="Arial" w:hAnsi="Arial"/>
          <w:sz w:val="14"/>
          <w:szCs w:val="14"/>
          <w:color w:val="auto"/>
        </w:rPr>
        <w:t>During the quarter ended March 29, 2026, none of our directors or officers (as defined in Rule 16a-1(f) under the Exchange Act) adopted, modified, or terminated a “Rule 10b5-1 trading arrangement” or a “non-Rule 10b5-1 trading arrangement” (as such terms are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96"/>
        </w:trPr>
        <w:tc>
          <w:tcPr>
            <w:tcW w:w="1240" w:type="dxa"/>
            <w:vAlign w:val="bottom"/>
          </w:tcPr>
          <w:p>
            <w:pPr>
              <w:spacing w:after="0"/>
              <w:rPr>
                <w:sz w:val="20"/>
                <w:szCs w:val="20"/>
                <w:color w:val="auto"/>
              </w:rPr>
            </w:pPr>
            <w:r>
              <w:rPr>
                <w:rFonts w:ascii="Arial" w:cs="Arial" w:eastAsia="Arial" w:hAnsi="Arial"/>
                <w:sz w:val="14"/>
                <w:szCs w:val="14"/>
                <w:b w:val="1"/>
                <w:bCs w:val="1"/>
                <w:color w:val="auto"/>
              </w:rPr>
              <w:t>Item 6. Exhibits</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7"/>
        </w:trPr>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Exhibit No.</w:t>
            </w:r>
          </w:p>
        </w:tc>
        <w:tc>
          <w:tcPr>
            <w:tcW w:w="120" w:type="dxa"/>
            <w:vAlign w:val="bottom"/>
          </w:tcPr>
          <w:p>
            <w:pPr>
              <w:spacing w:after="0"/>
              <w:rPr>
                <w:sz w:val="24"/>
                <w:szCs w:val="24"/>
                <w:color w:val="auto"/>
              </w:rPr>
            </w:pPr>
          </w:p>
        </w:tc>
        <w:tc>
          <w:tcPr>
            <w:tcW w:w="9940" w:type="dxa"/>
            <w:vAlign w:val="bottom"/>
            <w:tcBorders>
              <w:bottom w:val="single" w:sz="8" w:color="auto"/>
            </w:tcBorders>
            <w:gridSpan w:val="13"/>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304"/>
        </w:trPr>
        <w:tc>
          <w:tcPr>
            <w:tcW w:w="1240" w:type="dxa"/>
            <w:vAlign w:val="bottom"/>
          </w:tcPr>
          <w:p>
            <w:pPr>
              <w:jc w:val="center"/>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4"/>
                <w:szCs w:val="24"/>
                <w:color w:val="auto"/>
              </w:rPr>
            </w:pPr>
          </w:p>
        </w:tc>
        <w:tc>
          <w:tcPr>
            <w:tcW w:w="9940" w:type="dxa"/>
            <w:vAlign w:val="bottom"/>
            <w:gridSpan w:val="13"/>
          </w:tcPr>
          <w:p>
            <w:pPr>
              <w:spacing w:after="0"/>
              <w:rPr>
                <w:rFonts w:ascii="Arial" w:cs="Arial" w:eastAsia="Arial" w:hAnsi="Arial"/>
                <w:sz w:val="14"/>
                <w:szCs w:val="14"/>
                <w:color w:val="0000FF"/>
              </w:rPr>
            </w:pPr>
            <w:hyperlink r:id="rId416">
              <w:r>
                <w:rPr>
                  <w:rFonts w:ascii="Arial" w:cs="Arial" w:eastAsia="Arial" w:hAnsi="Arial"/>
                  <w:sz w:val="14"/>
                  <w:szCs w:val="14"/>
                  <w:color w:val="0000FF"/>
                </w:rPr>
                <w:t>Restated Certificate of Incorporation of Unifi, Inc. (incorporated by reference to Exhibit 3.1 to the Current Report on Form 8-K filed October 31, 2016 (File</w:t>
              </w:r>
            </w:hyperlink>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80" w:type="dxa"/>
            <w:vAlign w:val="bottom"/>
            <w:tcBorders>
              <w:top w:val="single" w:sz="8" w:color="0000FF"/>
            </w:tcBorders>
            <w:gridSpan w:val="10"/>
          </w:tcPr>
          <w:p>
            <w:pPr>
              <w:spacing w:after="0" w:line="142" w:lineRule="exact"/>
              <w:rPr>
                <w:rFonts w:ascii="Arial" w:cs="Arial" w:eastAsia="Arial" w:hAnsi="Arial"/>
                <w:sz w:val="14"/>
                <w:szCs w:val="14"/>
                <w:color w:val="0000FF"/>
              </w:rPr>
            </w:pPr>
            <w:hyperlink r:id="rId416">
              <w:r>
                <w:rPr>
                  <w:rFonts w:ascii="Arial" w:cs="Arial" w:eastAsia="Arial" w:hAnsi="Arial"/>
                  <w:sz w:val="14"/>
                  <w:szCs w:val="14"/>
                  <w:color w:val="0000FF"/>
                </w:rPr>
                <w:t>No. 001-10542)).</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40" w:type="dxa"/>
            <w:vAlign w:val="bottom"/>
          </w:tcPr>
          <w:p>
            <w:pPr>
              <w:jc w:val="center"/>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4"/>
                <w:szCs w:val="24"/>
                <w:color w:val="auto"/>
              </w:rPr>
            </w:pPr>
          </w:p>
        </w:tc>
        <w:tc>
          <w:tcPr>
            <w:tcW w:w="9940" w:type="dxa"/>
            <w:vAlign w:val="bottom"/>
            <w:gridSpan w:val="13"/>
          </w:tcPr>
          <w:p>
            <w:pPr>
              <w:spacing w:after="0"/>
              <w:rPr>
                <w:rFonts w:ascii="Arial" w:cs="Arial" w:eastAsia="Arial" w:hAnsi="Arial"/>
                <w:sz w:val="14"/>
                <w:szCs w:val="14"/>
                <w:color w:val="0000FF"/>
              </w:rPr>
            </w:pPr>
            <w:hyperlink r:id="rId417">
              <w:r>
                <w:rPr>
                  <w:rFonts w:ascii="Arial" w:cs="Arial" w:eastAsia="Arial" w:hAnsi="Arial"/>
                  <w:sz w:val="14"/>
                  <w:szCs w:val="14"/>
                  <w:color w:val="0000FF"/>
                </w:rPr>
                <w:t>Amended and Restated By-laws of Unifi, Inc., as of October 26, 2016 (incorporated by reference to Exhibit 3.2 to the Current Report on Form 8-K filed</w:t>
              </w:r>
            </w:hyperlink>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60" w:type="dxa"/>
            <w:vAlign w:val="bottom"/>
            <w:tcBorders>
              <w:top w:val="single" w:sz="8" w:color="0000FF"/>
              <w:bottom w:val="single" w:sz="8" w:color="0000FF"/>
            </w:tcBorders>
            <w:gridSpan w:val="4"/>
          </w:tcPr>
          <w:p>
            <w:pPr>
              <w:spacing w:after="0" w:line="142" w:lineRule="exact"/>
              <w:rPr>
                <w:rFonts w:ascii="Arial" w:cs="Arial" w:eastAsia="Arial" w:hAnsi="Arial"/>
                <w:sz w:val="14"/>
                <w:szCs w:val="14"/>
                <w:color w:val="0000FF"/>
              </w:rPr>
            </w:pPr>
            <w:hyperlink r:id="rId417">
              <w:r>
                <w:rPr>
                  <w:rFonts w:ascii="Arial" w:cs="Arial" w:eastAsia="Arial" w:hAnsi="Arial"/>
                  <w:sz w:val="14"/>
                  <w:szCs w:val="14"/>
                  <w:color w:val="0000FF"/>
                </w:rPr>
                <w:t>October 31, 2016 (File No. 001-10542)).</w:t>
              </w:r>
            </w:hyperlink>
          </w:p>
        </w:tc>
        <w:tc>
          <w:tcPr>
            <w:tcW w:w="20" w:type="dxa"/>
            <w:vAlign w:val="bottom"/>
            <w:tcBorders>
              <w:top w:val="single" w:sz="8" w:color="0000FF"/>
              <w:bottom w:val="single" w:sz="8" w:color="0000EE"/>
            </w:tcBorders>
          </w:tcPr>
          <w:p>
            <w:pPr>
              <w:spacing w:after="0"/>
              <w:rPr>
                <w:sz w:val="12"/>
                <w:szCs w:val="12"/>
                <w:color w:val="auto"/>
              </w:rPr>
            </w:pPr>
          </w:p>
        </w:tc>
        <w:tc>
          <w:tcPr>
            <w:tcW w:w="7280" w:type="dxa"/>
            <w:vAlign w:val="bottom"/>
            <w:tcBorders>
              <w:top w:val="single" w:sz="8" w:color="0000FF"/>
            </w:tcBorders>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1240" w:type="dxa"/>
            <w:vAlign w:val="bottom"/>
          </w:tcPr>
          <w:p>
            <w:pPr>
              <w:jc w:val="center"/>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4"/>
                <w:szCs w:val="24"/>
                <w:color w:val="auto"/>
              </w:rPr>
            </w:pPr>
          </w:p>
        </w:tc>
        <w:tc>
          <w:tcPr>
            <w:tcW w:w="9940" w:type="dxa"/>
            <w:vAlign w:val="bottom"/>
            <w:gridSpan w:val="13"/>
          </w:tcPr>
          <w:p>
            <w:pPr>
              <w:spacing w:after="0"/>
              <w:rPr>
                <w:rFonts w:ascii="Arial" w:cs="Arial" w:eastAsia="Arial" w:hAnsi="Arial"/>
                <w:sz w:val="14"/>
                <w:szCs w:val="14"/>
                <w:color w:val="0000FF"/>
              </w:rPr>
            </w:pPr>
            <w:hyperlink r:id="rId418">
              <w:r>
                <w:rPr>
                  <w:rFonts w:ascii="Arial" w:cs="Arial" w:eastAsia="Arial" w:hAnsi="Arial"/>
                  <w:sz w:val="14"/>
                  <w:szCs w:val="14"/>
                  <w:color w:val="0000FF"/>
                </w:rPr>
                <w:t>Declaration of Amendment to the Amended and Restated By-laws of Unifi, Inc. effective April 30, 2019 (incorporated by reference to Exhibit 3.1 to the</w:t>
              </w:r>
            </w:hyperlink>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920" w:type="dxa"/>
            <w:vAlign w:val="bottom"/>
            <w:tcBorders>
              <w:top w:val="single" w:sz="8" w:color="0000FF"/>
            </w:tcBorders>
            <w:gridSpan w:val="12"/>
          </w:tcPr>
          <w:p>
            <w:pPr>
              <w:spacing w:after="0" w:line="142" w:lineRule="exact"/>
              <w:rPr>
                <w:rFonts w:ascii="Arial" w:cs="Arial" w:eastAsia="Arial" w:hAnsi="Arial"/>
                <w:sz w:val="14"/>
                <w:szCs w:val="14"/>
                <w:color w:val="0000FF"/>
              </w:rPr>
            </w:pPr>
            <w:hyperlink r:id="rId418">
              <w:r>
                <w:rPr>
                  <w:rFonts w:ascii="Arial" w:cs="Arial" w:eastAsia="Arial" w:hAnsi="Arial"/>
                  <w:sz w:val="14"/>
                  <w:szCs w:val="14"/>
                  <w:color w:val="0000FF"/>
                </w:rPr>
                <w:t>Current Report on Form 8-K filed May 1, 2019 (File No. 001-10542))</w:t>
              </w:r>
              <w:r>
                <w:rPr>
                  <w:rFonts w:ascii="Arial" w:cs="Arial" w:eastAsia="Arial" w:hAnsi="Arial"/>
                  <w:sz w:val="14"/>
                  <w:szCs w:val="14"/>
                  <w:color w:val="000000"/>
                </w:rPr>
                <w:t>.</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jc w:val="center"/>
              <w:spacing w:after="0"/>
              <w:rPr>
                <w:sz w:val="20"/>
                <w:szCs w:val="20"/>
                <w:color w:val="auto"/>
              </w:rPr>
            </w:pPr>
            <w:r>
              <w:rPr>
                <w:rFonts w:ascii="Arial" w:cs="Arial" w:eastAsia="Arial" w:hAnsi="Arial"/>
                <w:sz w:val="14"/>
                <w:szCs w:val="14"/>
                <w:color w:val="auto"/>
                <w:w w:val="98"/>
              </w:rPr>
              <w:t>31.1</w:t>
            </w:r>
            <w:r>
              <w:rPr>
                <w:rFonts w:ascii="Arial" w:cs="Arial" w:eastAsia="Arial" w:hAnsi="Arial"/>
                <w:sz w:val="19"/>
                <w:szCs w:val="19"/>
                <w:color w:val="auto"/>
                <w:w w:val="98"/>
                <w:vertAlign w:val="superscript"/>
              </w:rPr>
              <w:t>+</w:t>
            </w:r>
          </w:p>
        </w:tc>
        <w:tc>
          <w:tcPr>
            <w:tcW w:w="120" w:type="dxa"/>
            <w:vAlign w:val="bottom"/>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00" w:type="dxa"/>
            <w:vAlign w:val="bottom"/>
            <w:tcBorders>
              <w:right w:val="single" w:sz="8" w:color="0000EE"/>
            </w:tcBorders>
            <w:gridSpan w:val="3"/>
            <w:shd w:val="clear" w:color="auto" w:fill="0000FF"/>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940" w:type="dxa"/>
            <w:vAlign w:val="bottom"/>
            <w:gridSpan w:val="13"/>
          </w:tcPr>
          <w:p>
            <w:pPr>
              <w:spacing w:after="0"/>
              <w:rPr>
                <w:sz w:val="20"/>
                <w:szCs w:val="20"/>
                <w:color w:val="auto"/>
              </w:rPr>
            </w:pPr>
            <w:r>
              <w:rPr>
                <w:rFonts w:ascii="Arial" w:cs="Arial" w:eastAsia="Arial" w:hAnsi="Arial"/>
                <w:sz w:val="14"/>
                <w:szCs w:val="14"/>
                <w:color w:val="0000FF"/>
              </w:rPr>
              <w:t>Certification of Principal Executive Officer pursuant to Rule 13a-14(a)/15d-14(a), as adopted pursuant to Section 302 of the Sarbanes-Oxley Act of 2002.</w:t>
            </w:r>
          </w:p>
        </w:tc>
        <w:tc>
          <w:tcPr>
            <w:tcW w:w="0" w:type="dxa"/>
            <w:vAlign w:val="bottom"/>
          </w:tcPr>
          <w:p>
            <w:pPr>
              <w:spacing w:after="0"/>
              <w:rPr>
                <w:sz w:val="1"/>
                <w:szCs w:val="1"/>
                <w:color w:val="auto"/>
              </w:rPr>
            </w:pPr>
          </w:p>
        </w:tc>
      </w:tr>
      <w:tr>
        <w:trPr>
          <w:trHeight w:val="304"/>
        </w:trPr>
        <w:tc>
          <w:tcPr>
            <w:tcW w:w="1240" w:type="dxa"/>
            <w:vAlign w:val="bottom"/>
          </w:tcPr>
          <w:p>
            <w:pPr>
              <w:jc w:val="center"/>
              <w:spacing w:after="0"/>
              <w:rPr>
                <w:sz w:val="20"/>
                <w:szCs w:val="20"/>
                <w:color w:val="auto"/>
              </w:rPr>
            </w:pPr>
            <w:r>
              <w:rPr>
                <w:rFonts w:ascii="Arial" w:cs="Arial" w:eastAsia="Arial" w:hAnsi="Arial"/>
                <w:sz w:val="14"/>
                <w:szCs w:val="14"/>
                <w:color w:val="auto"/>
                <w:w w:val="98"/>
              </w:rPr>
              <w:t>31.2</w:t>
            </w:r>
            <w:r>
              <w:rPr>
                <w:rFonts w:ascii="Arial" w:cs="Arial" w:eastAsia="Arial" w:hAnsi="Arial"/>
                <w:sz w:val="19"/>
                <w:szCs w:val="19"/>
                <w:color w:val="auto"/>
                <w:w w:val="98"/>
                <w:vertAlign w:val="superscript"/>
              </w:rPr>
              <w:t>+</w:t>
            </w:r>
          </w:p>
        </w:tc>
        <w:tc>
          <w:tcPr>
            <w:tcW w:w="120" w:type="dxa"/>
            <w:vAlign w:val="bottom"/>
          </w:tcPr>
          <w:p>
            <w:pPr>
              <w:spacing w:after="0"/>
              <w:rPr>
                <w:sz w:val="24"/>
                <w:szCs w:val="24"/>
                <w:color w:val="auto"/>
              </w:rPr>
            </w:pPr>
          </w:p>
        </w:tc>
        <w:tc>
          <w:tcPr>
            <w:tcW w:w="9680" w:type="dxa"/>
            <w:vAlign w:val="bottom"/>
            <w:tcBorders>
              <w:top w:val="single" w:sz="8" w:color="0000FF"/>
            </w:tcBorders>
            <w:gridSpan w:val="8"/>
          </w:tcPr>
          <w:p>
            <w:pPr>
              <w:spacing w:after="0"/>
              <w:rPr>
                <w:sz w:val="20"/>
                <w:szCs w:val="20"/>
                <w:color w:val="auto"/>
              </w:rPr>
            </w:pPr>
            <w:r>
              <w:rPr>
                <w:rFonts w:ascii="Arial" w:cs="Arial" w:eastAsia="Arial" w:hAnsi="Arial"/>
                <w:sz w:val="14"/>
                <w:szCs w:val="14"/>
                <w:color w:val="0000FF"/>
              </w:rPr>
              <w:t>Certification of Principal Financial Officer pursuant to Rule 13a-14(a)/15d-14(a), as adopted pursuant to Section 302 of the Sarbanes-Oxley Act of 2002.</w:t>
            </w:r>
          </w:p>
        </w:tc>
        <w:tc>
          <w:tcPr>
            <w:tcW w:w="2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jc w:val="center"/>
              <w:spacing w:after="0"/>
              <w:rPr>
                <w:sz w:val="20"/>
                <w:szCs w:val="20"/>
                <w:color w:val="auto"/>
              </w:rPr>
            </w:pPr>
            <w:r>
              <w:rPr>
                <w:rFonts w:ascii="Arial" w:cs="Arial" w:eastAsia="Arial" w:hAnsi="Arial"/>
                <w:sz w:val="14"/>
                <w:szCs w:val="14"/>
                <w:color w:val="auto"/>
                <w:w w:val="92"/>
              </w:rPr>
              <w:t>32</w:t>
            </w:r>
            <w:r>
              <w:rPr>
                <w:rFonts w:ascii="Arial" w:cs="Arial" w:eastAsia="Arial" w:hAnsi="Arial"/>
                <w:sz w:val="19"/>
                <w:szCs w:val="19"/>
                <w:color w:val="auto"/>
                <w:w w:val="92"/>
                <w:vertAlign w:val="superscript"/>
              </w:rPr>
              <w:t>++</w:t>
            </w:r>
          </w:p>
        </w:tc>
        <w:tc>
          <w:tcPr>
            <w:tcW w:w="120" w:type="dxa"/>
            <w:vAlign w:val="bottom"/>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780" w:type="dxa"/>
            <w:vAlign w:val="bottom"/>
            <w:gridSpan w:val="4"/>
            <w:shd w:val="clear" w:color="auto" w:fill="0000FF"/>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940" w:type="dxa"/>
            <w:vAlign w:val="bottom"/>
            <w:gridSpan w:val="13"/>
          </w:tcPr>
          <w:p>
            <w:pPr>
              <w:spacing w:after="0"/>
              <w:rPr>
                <w:sz w:val="20"/>
                <w:szCs w:val="20"/>
                <w:color w:val="auto"/>
              </w:rPr>
            </w:pPr>
            <w:r>
              <w:rPr>
                <w:rFonts w:ascii="Arial" w:cs="Arial" w:eastAsia="Arial" w:hAnsi="Arial"/>
                <w:sz w:val="14"/>
                <w:szCs w:val="14"/>
                <w:color w:val="0000FF"/>
              </w:rPr>
              <w:t>Certifications of Principal Executive Officer and Principal Financial Officer pursuant to 18 U.S.C. Section 1350, as adopted pursuant to Section 906 of the</w:t>
            </w:r>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Borders>
              <w:top w:val="single" w:sz="8" w:color="0000FF"/>
              <w:bottom w:val="single" w:sz="8" w:color="0000FF"/>
            </w:tcBorders>
            <w:gridSpan w:val="2"/>
          </w:tcPr>
          <w:p>
            <w:pPr>
              <w:spacing w:after="0" w:line="142" w:lineRule="exact"/>
              <w:rPr>
                <w:sz w:val="20"/>
                <w:szCs w:val="20"/>
                <w:color w:val="auto"/>
              </w:rPr>
            </w:pPr>
            <w:r>
              <w:rPr>
                <w:rFonts w:ascii="Arial" w:cs="Arial" w:eastAsia="Arial" w:hAnsi="Arial"/>
                <w:sz w:val="14"/>
                <w:szCs w:val="14"/>
                <w:color w:val="0000FF"/>
              </w:rPr>
              <w:t>Sarbanes-Oxley Act of 2002.</w:t>
            </w:r>
          </w:p>
        </w:tc>
        <w:tc>
          <w:tcPr>
            <w:tcW w:w="20" w:type="dxa"/>
            <w:vAlign w:val="bottom"/>
            <w:tcBorders>
              <w:top w:val="single" w:sz="8" w:color="0000FF"/>
              <w:bottom w:val="single" w:sz="8" w:color="0000EE"/>
            </w:tcBorders>
          </w:tcPr>
          <w:p>
            <w:pPr>
              <w:spacing w:after="0"/>
              <w:rPr>
                <w:sz w:val="12"/>
                <w:szCs w:val="12"/>
                <w:color w:val="auto"/>
              </w:rPr>
            </w:pPr>
          </w:p>
        </w:tc>
        <w:tc>
          <w:tcPr>
            <w:tcW w:w="8040" w:type="dxa"/>
            <w:vAlign w:val="bottom"/>
            <w:tcBorders>
              <w:top w:val="single" w:sz="8" w:color="0000FF"/>
            </w:tcBorders>
            <w:gridSpan w:val="8"/>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1240" w:type="dxa"/>
            <w:vAlign w:val="bottom"/>
          </w:tcPr>
          <w:p>
            <w:pPr>
              <w:jc w:val="center"/>
              <w:spacing w:after="0"/>
              <w:rPr>
                <w:sz w:val="20"/>
                <w:szCs w:val="20"/>
                <w:color w:val="auto"/>
              </w:rPr>
            </w:pPr>
            <w:r>
              <w:rPr>
                <w:rFonts w:ascii="Arial" w:cs="Arial" w:eastAsia="Arial" w:hAnsi="Arial"/>
                <w:sz w:val="14"/>
                <w:szCs w:val="14"/>
                <w:color w:val="auto"/>
              </w:rPr>
              <w:t>101.INS</w:t>
            </w:r>
          </w:p>
        </w:tc>
        <w:tc>
          <w:tcPr>
            <w:tcW w:w="120" w:type="dxa"/>
            <w:vAlign w:val="bottom"/>
          </w:tcPr>
          <w:p>
            <w:pPr>
              <w:spacing w:after="0"/>
              <w:rPr>
                <w:sz w:val="24"/>
                <w:szCs w:val="24"/>
                <w:color w:val="auto"/>
              </w:rPr>
            </w:pPr>
          </w:p>
        </w:tc>
        <w:tc>
          <w:tcPr>
            <w:tcW w:w="9940" w:type="dxa"/>
            <w:vAlign w:val="bottom"/>
            <w:gridSpan w:val="13"/>
          </w:tcPr>
          <w:p>
            <w:pPr>
              <w:spacing w:after="0"/>
              <w:rPr>
                <w:sz w:val="20"/>
                <w:szCs w:val="20"/>
                <w:color w:val="auto"/>
              </w:rPr>
            </w:pPr>
            <w:r>
              <w:rPr>
                <w:rFonts w:ascii="Arial" w:cs="Arial" w:eastAsia="Arial" w:hAnsi="Arial"/>
                <w:sz w:val="14"/>
                <w:szCs w:val="14"/>
                <w:color w:val="auto"/>
              </w:rPr>
              <w:t>Inline XBRL Instance Document – the instance document does not appear in the Interactive Data File because XBRL tags are embedded within the Inline</w:t>
            </w:r>
          </w:p>
        </w:tc>
        <w:tc>
          <w:tcPr>
            <w:tcW w:w="0" w:type="dxa"/>
            <w:vAlign w:val="bottom"/>
          </w:tcPr>
          <w:p>
            <w:pPr>
              <w:spacing w:after="0"/>
              <w:rPr>
                <w:sz w:val="1"/>
                <w:szCs w:val="1"/>
                <w:color w:val="auto"/>
              </w:rPr>
            </w:pPr>
          </w:p>
        </w:tc>
      </w:tr>
      <w:tr>
        <w:trPr>
          <w:trHeight w:val="190"/>
        </w:trPr>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940" w:type="dxa"/>
            <w:vAlign w:val="bottom"/>
            <w:gridSpan w:val="13"/>
          </w:tcPr>
          <w:p>
            <w:pPr>
              <w:spacing w:after="0"/>
              <w:rPr>
                <w:sz w:val="20"/>
                <w:szCs w:val="20"/>
                <w:color w:val="auto"/>
              </w:rPr>
            </w:pPr>
            <w:r>
              <w:rPr>
                <w:rFonts w:ascii="Arial" w:cs="Arial" w:eastAsia="Arial" w:hAnsi="Arial"/>
                <w:sz w:val="14"/>
                <w:szCs w:val="14"/>
                <w:color w:val="auto"/>
              </w:rPr>
              <w:t>XBRL document.</w:t>
            </w:r>
          </w:p>
        </w:tc>
        <w:tc>
          <w:tcPr>
            <w:tcW w:w="0" w:type="dxa"/>
            <w:vAlign w:val="bottom"/>
          </w:tcPr>
          <w:p>
            <w:pPr>
              <w:spacing w:after="0"/>
              <w:rPr>
                <w:sz w:val="1"/>
                <w:szCs w:val="1"/>
                <w:color w:val="auto"/>
              </w:rPr>
            </w:pPr>
          </w:p>
        </w:tc>
      </w:tr>
      <w:tr>
        <w:trPr>
          <w:trHeight w:val="324"/>
        </w:trPr>
        <w:tc>
          <w:tcPr>
            <w:tcW w:w="1240" w:type="dxa"/>
            <w:vAlign w:val="bottom"/>
          </w:tcPr>
          <w:p>
            <w:pPr>
              <w:jc w:val="center"/>
              <w:spacing w:after="0"/>
              <w:rPr>
                <w:sz w:val="20"/>
                <w:szCs w:val="20"/>
                <w:color w:val="auto"/>
              </w:rPr>
            </w:pPr>
            <w:r>
              <w:rPr>
                <w:rFonts w:ascii="Arial" w:cs="Arial" w:eastAsia="Arial" w:hAnsi="Arial"/>
                <w:sz w:val="14"/>
                <w:szCs w:val="14"/>
                <w:color w:val="auto"/>
              </w:rPr>
              <w:t>101.SCH</w:t>
            </w:r>
          </w:p>
        </w:tc>
        <w:tc>
          <w:tcPr>
            <w:tcW w:w="120" w:type="dxa"/>
            <w:vAlign w:val="bottom"/>
          </w:tcPr>
          <w:p>
            <w:pPr>
              <w:spacing w:after="0"/>
              <w:rPr>
                <w:sz w:val="24"/>
                <w:szCs w:val="24"/>
                <w:color w:val="auto"/>
              </w:rPr>
            </w:pPr>
          </w:p>
        </w:tc>
        <w:tc>
          <w:tcPr>
            <w:tcW w:w="9940" w:type="dxa"/>
            <w:vAlign w:val="bottom"/>
            <w:gridSpan w:val="13"/>
          </w:tcPr>
          <w:p>
            <w:pPr>
              <w:spacing w:after="0"/>
              <w:rPr>
                <w:sz w:val="20"/>
                <w:szCs w:val="20"/>
                <w:color w:val="auto"/>
              </w:rPr>
            </w:pPr>
            <w:r>
              <w:rPr>
                <w:rFonts w:ascii="Arial" w:cs="Arial" w:eastAsia="Arial" w:hAnsi="Arial"/>
                <w:sz w:val="14"/>
                <w:szCs w:val="14"/>
                <w:color w:val="auto"/>
              </w:rPr>
              <w:t>Inline XBRL Taxonomy Extension Schema With Embedded Linkbases Document.</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360" w:hanging="858"/>
        <w:spacing w:after="0"/>
        <w:tabs>
          <w:tab w:leader="none" w:pos="1360" w:val="left"/>
        </w:tabs>
        <w:numPr>
          <w:ilvl w:val="1"/>
          <w:numId w:val="18"/>
        </w:numPr>
        <w:rPr>
          <w:rFonts w:ascii="Arial" w:cs="Arial" w:eastAsia="Arial" w:hAnsi="Arial"/>
          <w:sz w:val="14"/>
          <w:szCs w:val="14"/>
          <w:color w:val="auto"/>
        </w:rPr>
      </w:pPr>
      <w:r>
        <w:rPr>
          <w:rFonts w:ascii="Arial" w:cs="Arial" w:eastAsia="Arial" w:hAnsi="Arial"/>
          <w:sz w:val="14"/>
          <w:szCs w:val="14"/>
          <w:color w:val="auto"/>
        </w:rPr>
        <w:t>Cover Page Interactive Data File (embedded within the Inline XBRL document).</w:t>
      </w:r>
    </w:p>
    <w:p>
      <w:pPr>
        <w:spacing w:after="0" w:line="365" w:lineRule="exact"/>
        <w:rPr>
          <w:rFonts w:ascii="Arial" w:cs="Arial" w:eastAsia="Arial" w:hAnsi="Arial"/>
          <w:sz w:val="14"/>
          <w:szCs w:val="14"/>
          <w:color w:val="auto"/>
        </w:rPr>
      </w:pPr>
    </w:p>
    <w:p>
      <w:pPr>
        <w:ind w:left="140" w:hanging="132"/>
        <w:spacing w:after="0"/>
        <w:tabs>
          <w:tab w:leader="none" w:pos="1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 Furnished herewith.</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4"/>
          <w:szCs w:val="14"/>
          <w:b w:val="1"/>
          <w:bCs w:val="1"/>
          <w:color w:val="auto"/>
        </w:rPr>
        <w:t>SIGNATURES</w:t>
      </w:r>
    </w:p>
    <w:p>
      <w:pPr>
        <w:spacing w:after="0" w:line="217" w:lineRule="exact"/>
        <w:rPr>
          <w:sz w:val="20"/>
          <w:szCs w:val="20"/>
          <w:color w:val="auto"/>
        </w:rPr>
      </w:pPr>
    </w:p>
    <w:p>
      <w:pPr>
        <w:spacing w:after="0" w:line="285"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thereunto duly authorized.</w:t>
      </w:r>
    </w:p>
    <w:p>
      <w:pPr>
        <w:spacing w:after="0" w:line="104" w:lineRule="exact"/>
        <w:rPr>
          <w:sz w:val="20"/>
          <w:szCs w:val="20"/>
          <w:color w:val="auto"/>
        </w:rPr>
      </w:pPr>
    </w:p>
    <w:p>
      <w:pPr>
        <w:ind w:left="6760"/>
        <w:spacing w:after="0"/>
        <w:rPr>
          <w:sz w:val="20"/>
          <w:szCs w:val="20"/>
          <w:color w:val="auto"/>
        </w:rPr>
      </w:pPr>
      <w:r>
        <w:rPr>
          <w:rFonts w:ascii="Arial" w:cs="Arial" w:eastAsia="Arial" w:hAnsi="Arial"/>
          <w:sz w:val="14"/>
          <w:szCs w:val="14"/>
          <w:b w:val="1"/>
          <w:bCs w:val="1"/>
          <w:color w:val="auto"/>
        </w:rPr>
        <w:t>UNIFI, INC.</w:t>
      </w:r>
    </w:p>
    <w:p>
      <w:pPr>
        <w:spacing w:after="0" w:line="15" w:lineRule="exact"/>
        <w:rPr>
          <w:sz w:val="20"/>
          <w:szCs w:val="20"/>
          <w:color w:val="auto"/>
        </w:rPr>
      </w:pPr>
    </w:p>
    <w:p>
      <w:pPr>
        <w:ind w:left="6760"/>
        <w:spacing w:after="0"/>
        <w:rPr>
          <w:sz w:val="20"/>
          <w:szCs w:val="20"/>
          <w:color w:val="auto"/>
        </w:rPr>
      </w:pPr>
      <w:r>
        <w:rPr>
          <w:rFonts w:ascii="Arial" w:cs="Arial" w:eastAsia="Arial" w:hAnsi="Arial"/>
          <w:sz w:val="14"/>
          <w:szCs w:val="14"/>
          <w:color w:val="auto"/>
        </w:rPr>
        <w:t>(Registrant)</w:t>
      </w:r>
    </w:p>
    <w:p>
      <w:pPr>
        <w:spacing w:after="0" w:line="149" w:lineRule="exact"/>
        <w:rPr>
          <w:sz w:val="20"/>
          <w:szCs w:val="20"/>
          <w:color w:val="auto"/>
        </w:rPr>
      </w:pPr>
    </w:p>
    <w:p>
      <w:pPr>
        <w:spacing w:after="0"/>
        <w:tabs>
          <w:tab w:leader="none" w:pos="6740" w:val="left"/>
          <w:tab w:leader="none" w:pos="7080" w:val="left"/>
        </w:tabs>
        <w:rPr>
          <w:sz w:val="20"/>
          <w:szCs w:val="20"/>
          <w:color w:val="auto"/>
        </w:rPr>
      </w:pPr>
      <w:r>
        <w:rPr>
          <w:rFonts w:ascii="Arial" w:cs="Arial" w:eastAsia="Arial" w:hAnsi="Arial"/>
          <w:sz w:val="14"/>
          <w:szCs w:val="14"/>
          <w:color w:val="auto"/>
        </w:rPr>
        <w:t>Date: May 6, 2026</w:t>
      </w:r>
      <w:r>
        <w:rPr>
          <w:sz w:val="20"/>
          <w:szCs w:val="20"/>
          <w:color w:val="auto"/>
        </w:rPr>
        <w:tab/>
      </w:r>
      <w:r>
        <w:rPr>
          <w:rFonts w:ascii="Arial" w:cs="Arial" w:eastAsia="Arial" w:hAnsi="Arial"/>
          <w:sz w:val="14"/>
          <w:szCs w:val="14"/>
          <w:color w:val="auto"/>
        </w:rPr>
        <w:t>By:</w:t>
        <w:tab/>
        <w:t>/s/ ANDREW J. EAKER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6350</wp:posOffset>
            </wp:positionV>
            <wp:extent cx="263144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0">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9" w:lineRule="exact"/>
        <w:rPr>
          <w:sz w:val="20"/>
          <w:szCs w:val="20"/>
          <w:color w:val="auto"/>
        </w:rPr>
      </w:pPr>
    </w:p>
    <w:p>
      <w:pPr>
        <w:ind w:left="7100"/>
        <w:spacing w:after="0"/>
        <w:rPr>
          <w:sz w:val="20"/>
          <w:szCs w:val="20"/>
          <w:color w:val="auto"/>
        </w:rPr>
      </w:pPr>
      <w:r>
        <w:rPr>
          <w:rFonts w:ascii="Arial" w:cs="Arial" w:eastAsia="Arial" w:hAnsi="Arial"/>
          <w:sz w:val="14"/>
          <w:szCs w:val="14"/>
          <w:color w:val="auto"/>
        </w:rPr>
        <w:t>Andrew J. Eaker</w:t>
      </w:r>
    </w:p>
    <w:p>
      <w:pPr>
        <w:spacing w:after="0" w:line="1" w:lineRule="exact"/>
        <w:rPr>
          <w:sz w:val="20"/>
          <w:szCs w:val="20"/>
          <w:color w:val="auto"/>
        </w:rPr>
      </w:pPr>
    </w:p>
    <w:p>
      <w:pPr>
        <w:ind w:left="7100"/>
        <w:spacing w:after="0"/>
        <w:rPr>
          <w:sz w:val="20"/>
          <w:szCs w:val="20"/>
          <w:color w:val="auto"/>
        </w:rPr>
      </w:pPr>
      <w:r>
        <w:rPr>
          <w:rFonts w:ascii="Arial" w:cs="Arial" w:eastAsia="Arial" w:hAnsi="Arial"/>
          <w:sz w:val="14"/>
          <w:szCs w:val="14"/>
          <w:color w:val="auto"/>
        </w:rPr>
        <w:t>Executive Vice President &amp; Chief Financial Officer</w:t>
      </w:r>
    </w:p>
    <w:p>
      <w:pPr>
        <w:spacing w:after="0" w:line="1" w:lineRule="exact"/>
        <w:rPr>
          <w:sz w:val="20"/>
          <w:szCs w:val="20"/>
          <w:color w:val="auto"/>
        </w:rPr>
      </w:pPr>
    </w:p>
    <w:p>
      <w:pPr>
        <w:ind w:left="7100"/>
        <w:spacing w:after="0"/>
        <w:rPr>
          <w:sz w:val="20"/>
          <w:szCs w:val="20"/>
          <w:color w:val="auto"/>
        </w:rPr>
      </w:pPr>
      <w:r>
        <w:rPr>
          <w:rFonts w:ascii="Arial" w:cs="Arial" w:eastAsia="Arial" w:hAnsi="Arial"/>
          <w:sz w:val="14"/>
          <w:szCs w:val="14"/>
          <w:color w:val="auto"/>
        </w:rPr>
        <w:t>Treasurer</w:t>
      </w:r>
    </w:p>
    <w:p>
      <w:pPr>
        <w:spacing w:after="0" w:line="1" w:lineRule="exact"/>
        <w:rPr>
          <w:sz w:val="20"/>
          <w:szCs w:val="20"/>
          <w:color w:val="auto"/>
        </w:rPr>
      </w:pPr>
    </w:p>
    <w:p>
      <w:pPr>
        <w:ind w:left="7100"/>
        <w:spacing w:after="0"/>
        <w:rPr>
          <w:sz w:val="20"/>
          <w:szCs w:val="20"/>
          <w:color w:val="auto"/>
        </w:rPr>
      </w:pPr>
      <w:r>
        <w:rPr>
          <w:rFonts w:ascii="Arial" w:cs="Arial" w:eastAsia="Arial" w:hAnsi="Arial"/>
          <w:sz w:val="14"/>
          <w:szCs w:val="14"/>
          <w:color w:val="auto"/>
        </w:rPr>
        <w:t>(Principal Financial Officer and Principal</w:t>
      </w:r>
    </w:p>
    <w:p>
      <w:pPr>
        <w:spacing w:after="0" w:line="1" w:lineRule="exact"/>
        <w:rPr>
          <w:sz w:val="20"/>
          <w:szCs w:val="20"/>
          <w:color w:val="auto"/>
        </w:rPr>
      </w:pPr>
    </w:p>
    <w:p>
      <w:pPr>
        <w:ind w:left="7100"/>
        <w:spacing w:after="0"/>
        <w:rPr>
          <w:sz w:val="20"/>
          <w:szCs w:val="20"/>
          <w:color w:val="auto"/>
        </w:rPr>
      </w:pPr>
      <w:r>
        <w:rPr>
          <w:rFonts w:ascii="Arial" w:cs="Arial" w:eastAsia="Arial" w:hAnsi="Arial"/>
          <w:sz w:val="14"/>
          <w:szCs w:val="14"/>
          <w:color w:val="auto"/>
        </w:rPr>
        <w:t>Accounting Officer)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Edmund M. Ingle, certify that:</w:t>
      </w:r>
    </w:p>
    <w:p>
      <w:pPr>
        <w:spacing w:after="0" w:line="104" w:lineRule="exact"/>
        <w:rPr>
          <w:sz w:val="20"/>
          <w:szCs w:val="20"/>
          <w:color w:val="auto"/>
        </w:rPr>
      </w:pPr>
    </w:p>
    <w:p>
      <w:pPr>
        <w:ind w:left="520" w:hanging="512"/>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Unifi, Inc.;</w:t>
      </w:r>
    </w:p>
    <w:p>
      <w:pPr>
        <w:spacing w:after="0" w:line="103" w:lineRule="exact"/>
        <w:rPr>
          <w:rFonts w:ascii="Arial" w:cs="Arial" w:eastAsia="Arial" w:hAnsi="Arial"/>
          <w:sz w:val="18"/>
          <w:szCs w:val="18"/>
          <w:color w:val="auto"/>
        </w:rPr>
      </w:pPr>
    </w:p>
    <w:p>
      <w:pPr>
        <w:jc w:val="both"/>
        <w:ind w:left="520" w:hanging="512"/>
        <w:spacing w:after="0" w:line="253"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Arial" w:cs="Arial" w:eastAsia="Arial" w:hAnsi="Arial"/>
          <w:sz w:val="18"/>
          <w:szCs w:val="18"/>
          <w:color w:val="auto"/>
        </w:rPr>
      </w:pPr>
    </w:p>
    <w:p>
      <w:pPr>
        <w:jc w:val="both"/>
        <w:ind w:left="520" w:hanging="512"/>
        <w:spacing w:after="0" w:line="253"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0" w:lineRule="exact"/>
        <w:rPr>
          <w:rFonts w:ascii="Arial" w:cs="Arial" w:eastAsia="Arial" w:hAnsi="Arial"/>
          <w:sz w:val="18"/>
          <w:szCs w:val="18"/>
          <w:color w:val="auto"/>
        </w:rPr>
      </w:pPr>
    </w:p>
    <w:p>
      <w:pPr>
        <w:jc w:val="both"/>
        <w:ind w:left="520" w:hanging="512"/>
        <w:spacing w:after="0" w:line="253"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0" w:lineRule="exact"/>
        <w:rPr>
          <w:rFonts w:ascii="Arial" w:cs="Arial" w:eastAsia="Arial" w:hAnsi="Arial"/>
          <w:sz w:val="18"/>
          <w:szCs w:val="18"/>
          <w:color w:val="auto"/>
        </w:rPr>
      </w:pPr>
    </w:p>
    <w:p>
      <w:pPr>
        <w:jc w:val="both"/>
        <w:ind w:left="1020" w:hanging="503"/>
        <w:spacing w:after="0" w:line="253" w:lineRule="auto"/>
        <w:tabs>
          <w:tab w:leader="none" w:pos="10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Arial" w:cs="Arial" w:eastAsia="Arial" w:hAnsi="Arial"/>
          <w:sz w:val="18"/>
          <w:szCs w:val="18"/>
          <w:color w:val="auto"/>
        </w:rPr>
      </w:pPr>
    </w:p>
    <w:p>
      <w:pPr>
        <w:jc w:val="both"/>
        <w:ind w:left="1020" w:hanging="503"/>
        <w:spacing w:after="0" w:line="253" w:lineRule="auto"/>
        <w:tabs>
          <w:tab w:leader="none" w:pos="10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0" w:lineRule="exact"/>
        <w:rPr>
          <w:rFonts w:ascii="Arial" w:cs="Arial" w:eastAsia="Arial" w:hAnsi="Arial"/>
          <w:sz w:val="18"/>
          <w:szCs w:val="18"/>
          <w:color w:val="auto"/>
        </w:rPr>
      </w:pPr>
    </w:p>
    <w:p>
      <w:pPr>
        <w:jc w:val="both"/>
        <w:ind w:left="1020" w:hanging="503"/>
        <w:spacing w:after="0" w:line="253" w:lineRule="auto"/>
        <w:tabs>
          <w:tab w:leader="none" w:pos="10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0" w:lineRule="exact"/>
        <w:rPr>
          <w:rFonts w:ascii="Arial" w:cs="Arial" w:eastAsia="Arial" w:hAnsi="Arial"/>
          <w:sz w:val="18"/>
          <w:szCs w:val="18"/>
          <w:color w:val="auto"/>
        </w:rPr>
      </w:pPr>
    </w:p>
    <w:p>
      <w:pPr>
        <w:jc w:val="both"/>
        <w:ind w:left="1020" w:right="20" w:hanging="503"/>
        <w:spacing w:after="0" w:line="253" w:lineRule="auto"/>
        <w:tabs>
          <w:tab w:leader="none" w:pos="10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0" w:lineRule="exact"/>
        <w:rPr>
          <w:rFonts w:ascii="Arial" w:cs="Arial" w:eastAsia="Arial" w:hAnsi="Arial"/>
          <w:sz w:val="18"/>
          <w:szCs w:val="18"/>
          <w:color w:val="auto"/>
        </w:rPr>
      </w:pPr>
    </w:p>
    <w:p>
      <w:pPr>
        <w:jc w:val="both"/>
        <w:ind w:left="520" w:right="20" w:hanging="512"/>
        <w:spacing w:after="0" w:line="253"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0" w:lineRule="exact"/>
        <w:rPr>
          <w:rFonts w:ascii="Arial" w:cs="Arial" w:eastAsia="Arial" w:hAnsi="Arial"/>
          <w:sz w:val="18"/>
          <w:szCs w:val="18"/>
          <w:color w:val="auto"/>
        </w:rPr>
      </w:pPr>
    </w:p>
    <w:p>
      <w:pPr>
        <w:jc w:val="both"/>
        <w:ind w:left="1020" w:hanging="503"/>
        <w:spacing w:after="0" w:line="253" w:lineRule="auto"/>
        <w:tabs>
          <w:tab w:leader="none" w:pos="10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0" w:lineRule="exact"/>
        <w:rPr>
          <w:rFonts w:ascii="Arial" w:cs="Arial" w:eastAsia="Arial" w:hAnsi="Arial"/>
          <w:sz w:val="18"/>
          <w:szCs w:val="18"/>
          <w:color w:val="auto"/>
        </w:rPr>
      </w:pPr>
    </w:p>
    <w:p>
      <w:pPr>
        <w:ind w:left="1020" w:hanging="503"/>
        <w:spacing w:after="0" w:line="271" w:lineRule="auto"/>
        <w:tabs>
          <w:tab w:leader="none" w:pos="10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p>
      <w:pPr>
        <w:spacing w:after="0"/>
        <w:tabs>
          <w:tab w:leader="none" w:pos="600" w:val="left"/>
          <w:tab w:leader="none" w:pos="6780" w:val="left"/>
        </w:tabs>
        <w:rPr>
          <w:sz w:val="20"/>
          <w:szCs w:val="20"/>
          <w:color w:val="auto"/>
        </w:rPr>
      </w:pPr>
      <w:r>
        <w:rPr>
          <w:rFonts w:ascii="Arial" w:cs="Arial" w:eastAsia="Arial" w:hAnsi="Arial"/>
          <w:sz w:val="18"/>
          <w:szCs w:val="18"/>
          <w:color w:val="auto"/>
        </w:rPr>
        <w:t>Date:</w:t>
        <w:tab/>
        <w:t>May 6, 2026</w:t>
      </w:r>
      <w:r>
        <w:rPr>
          <w:sz w:val="20"/>
          <w:szCs w:val="20"/>
          <w:color w:val="auto"/>
        </w:rPr>
        <w:tab/>
      </w:r>
      <w:r>
        <w:rPr>
          <w:rFonts w:ascii="Arial" w:cs="Arial" w:eastAsia="Arial" w:hAnsi="Arial"/>
          <w:sz w:val="17"/>
          <w:szCs w:val="17"/>
          <w:color w:val="auto"/>
        </w:rPr>
        <w:t>/s/ EDMUND M. INGLE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8890</wp:posOffset>
            </wp:positionV>
            <wp:extent cx="282003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2">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Edmund M. Ingle</w:t>
      </w:r>
    </w:p>
    <w:p>
      <w:pPr>
        <w:ind w:left="680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601980</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Andrew J. Eaker, certify that:</w:t>
      </w:r>
    </w:p>
    <w:p>
      <w:pPr>
        <w:spacing w:after="0" w:line="104" w:lineRule="exact"/>
        <w:rPr>
          <w:sz w:val="20"/>
          <w:szCs w:val="20"/>
          <w:color w:val="auto"/>
        </w:rPr>
      </w:pPr>
    </w:p>
    <w:p>
      <w:pPr>
        <w:ind w:left="520" w:hanging="512"/>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Unifi, Inc.;</w:t>
      </w:r>
    </w:p>
    <w:p>
      <w:pPr>
        <w:spacing w:after="0" w:line="103" w:lineRule="exact"/>
        <w:rPr>
          <w:rFonts w:ascii="Arial" w:cs="Arial" w:eastAsia="Arial" w:hAnsi="Arial"/>
          <w:sz w:val="18"/>
          <w:szCs w:val="18"/>
          <w:color w:val="auto"/>
        </w:rPr>
      </w:pPr>
    </w:p>
    <w:p>
      <w:pPr>
        <w:jc w:val="both"/>
        <w:ind w:left="520" w:hanging="512"/>
        <w:spacing w:after="0" w:line="253"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Arial" w:cs="Arial" w:eastAsia="Arial" w:hAnsi="Arial"/>
          <w:sz w:val="18"/>
          <w:szCs w:val="18"/>
          <w:color w:val="auto"/>
        </w:rPr>
      </w:pPr>
    </w:p>
    <w:p>
      <w:pPr>
        <w:jc w:val="both"/>
        <w:ind w:left="520" w:hanging="512"/>
        <w:spacing w:after="0" w:line="253"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0" w:lineRule="exact"/>
        <w:rPr>
          <w:rFonts w:ascii="Arial" w:cs="Arial" w:eastAsia="Arial" w:hAnsi="Arial"/>
          <w:sz w:val="18"/>
          <w:szCs w:val="18"/>
          <w:color w:val="auto"/>
        </w:rPr>
      </w:pPr>
    </w:p>
    <w:p>
      <w:pPr>
        <w:jc w:val="both"/>
        <w:ind w:left="520" w:hanging="512"/>
        <w:spacing w:after="0" w:line="253"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0" w:lineRule="exact"/>
        <w:rPr>
          <w:rFonts w:ascii="Arial" w:cs="Arial" w:eastAsia="Arial" w:hAnsi="Arial"/>
          <w:sz w:val="18"/>
          <w:szCs w:val="18"/>
          <w:color w:val="auto"/>
        </w:rPr>
      </w:pPr>
    </w:p>
    <w:p>
      <w:pPr>
        <w:jc w:val="both"/>
        <w:ind w:left="1020" w:hanging="503"/>
        <w:spacing w:after="0" w:line="253" w:lineRule="auto"/>
        <w:tabs>
          <w:tab w:leader="none" w:pos="10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Arial" w:cs="Arial" w:eastAsia="Arial" w:hAnsi="Arial"/>
          <w:sz w:val="18"/>
          <w:szCs w:val="18"/>
          <w:color w:val="auto"/>
        </w:rPr>
      </w:pPr>
    </w:p>
    <w:p>
      <w:pPr>
        <w:jc w:val="both"/>
        <w:ind w:left="1020" w:hanging="503"/>
        <w:spacing w:after="0" w:line="253" w:lineRule="auto"/>
        <w:tabs>
          <w:tab w:leader="none" w:pos="10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0" w:lineRule="exact"/>
        <w:rPr>
          <w:rFonts w:ascii="Arial" w:cs="Arial" w:eastAsia="Arial" w:hAnsi="Arial"/>
          <w:sz w:val="18"/>
          <w:szCs w:val="18"/>
          <w:color w:val="auto"/>
        </w:rPr>
      </w:pPr>
    </w:p>
    <w:p>
      <w:pPr>
        <w:jc w:val="both"/>
        <w:ind w:left="1020" w:hanging="503"/>
        <w:spacing w:after="0" w:line="253" w:lineRule="auto"/>
        <w:tabs>
          <w:tab w:leader="none" w:pos="10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0" w:lineRule="exact"/>
        <w:rPr>
          <w:rFonts w:ascii="Arial" w:cs="Arial" w:eastAsia="Arial" w:hAnsi="Arial"/>
          <w:sz w:val="18"/>
          <w:szCs w:val="18"/>
          <w:color w:val="auto"/>
        </w:rPr>
      </w:pPr>
    </w:p>
    <w:p>
      <w:pPr>
        <w:jc w:val="both"/>
        <w:ind w:left="1020" w:right="20" w:hanging="503"/>
        <w:spacing w:after="0" w:line="253" w:lineRule="auto"/>
        <w:tabs>
          <w:tab w:leader="none" w:pos="10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0" w:lineRule="exact"/>
        <w:rPr>
          <w:rFonts w:ascii="Arial" w:cs="Arial" w:eastAsia="Arial" w:hAnsi="Arial"/>
          <w:sz w:val="18"/>
          <w:szCs w:val="18"/>
          <w:color w:val="auto"/>
        </w:rPr>
      </w:pPr>
    </w:p>
    <w:p>
      <w:pPr>
        <w:jc w:val="both"/>
        <w:ind w:left="520" w:right="20" w:hanging="512"/>
        <w:spacing w:after="0" w:line="253"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0" w:lineRule="exact"/>
        <w:rPr>
          <w:rFonts w:ascii="Arial" w:cs="Arial" w:eastAsia="Arial" w:hAnsi="Arial"/>
          <w:sz w:val="18"/>
          <w:szCs w:val="18"/>
          <w:color w:val="auto"/>
        </w:rPr>
      </w:pPr>
    </w:p>
    <w:p>
      <w:pPr>
        <w:jc w:val="both"/>
        <w:ind w:left="1020" w:hanging="503"/>
        <w:spacing w:after="0" w:line="253" w:lineRule="auto"/>
        <w:tabs>
          <w:tab w:leader="none" w:pos="10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0" w:lineRule="exact"/>
        <w:rPr>
          <w:rFonts w:ascii="Arial" w:cs="Arial" w:eastAsia="Arial" w:hAnsi="Arial"/>
          <w:sz w:val="18"/>
          <w:szCs w:val="18"/>
          <w:color w:val="auto"/>
        </w:rPr>
      </w:pPr>
    </w:p>
    <w:p>
      <w:pPr>
        <w:ind w:left="1020" w:hanging="503"/>
        <w:spacing w:after="0" w:line="271" w:lineRule="auto"/>
        <w:tabs>
          <w:tab w:leader="none" w:pos="10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p>
      <w:pPr>
        <w:spacing w:after="0"/>
        <w:tabs>
          <w:tab w:leader="none" w:pos="600" w:val="left"/>
          <w:tab w:leader="none" w:pos="6800" w:val="left"/>
        </w:tabs>
        <w:rPr>
          <w:sz w:val="20"/>
          <w:szCs w:val="20"/>
          <w:color w:val="auto"/>
        </w:rPr>
      </w:pPr>
      <w:r>
        <w:rPr>
          <w:rFonts w:ascii="Arial" w:cs="Arial" w:eastAsia="Arial" w:hAnsi="Arial"/>
          <w:sz w:val="18"/>
          <w:szCs w:val="18"/>
          <w:color w:val="auto"/>
        </w:rPr>
        <w:t>Date:</w:t>
        <w:tab/>
        <w:t>May 6, 2026</w:t>
      </w:r>
      <w:r>
        <w:rPr>
          <w:sz w:val="20"/>
          <w:szCs w:val="20"/>
          <w:color w:val="auto"/>
        </w:rPr>
        <w:tab/>
      </w:r>
      <w:r>
        <w:rPr>
          <w:rFonts w:ascii="Arial" w:cs="Arial" w:eastAsia="Arial" w:hAnsi="Arial"/>
          <w:sz w:val="17"/>
          <w:szCs w:val="17"/>
          <w:color w:val="auto"/>
        </w:rPr>
        <w:t>/s/ ANDREW J. EAKER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8890</wp:posOffset>
            </wp:positionV>
            <wp:extent cx="28117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4">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Andrew J. Eaker</w:t>
      </w:r>
    </w:p>
    <w:p>
      <w:pPr>
        <w:ind w:left="6820"/>
        <w:spacing w:after="0" w:line="234" w:lineRule="auto"/>
        <w:rPr>
          <w:sz w:val="20"/>
          <w:szCs w:val="20"/>
          <w:color w:val="auto"/>
        </w:rPr>
      </w:pPr>
      <w:r>
        <w:rPr>
          <w:rFonts w:ascii="Arial" w:cs="Arial" w:eastAsia="Arial" w:hAnsi="Arial"/>
          <w:sz w:val="18"/>
          <w:szCs w:val="18"/>
          <w:color w:val="auto"/>
        </w:rPr>
        <w:t>Executive Vice President &amp; Chief Financial Officer</w:t>
      </w:r>
    </w:p>
    <w:p>
      <w:pPr>
        <w:ind w:left="6820"/>
        <w:spacing w:after="0" w:line="235" w:lineRule="auto"/>
        <w:rPr>
          <w:sz w:val="20"/>
          <w:szCs w:val="20"/>
          <w:color w:val="auto"/>
        </w:rPr>
      </w:pPr>
      <w:r>
        <w:rPr>
          <w:rFonts w:ascii="Arial" w:cs="Arial" w:eastAsia="Arial" w:hAnsi="Arial"/>
          <w:sz w:val="18"/>
          <w:szCs w:val="18"/>
          <w:color w:val="auto"/>
        </w:rPr>
        <w:t>Treasurer</w:t>
      </w:r>
    </w:p>
    <w:p>
      <w:pPr>
        <w:ind w:left="6820"/>
        <w:spacing w:after="0" w:line="235" w:lineRule="auto"/>
        <w:rPr>
          <w:sz w:val="20"/>
          <w:szCs w:val="20"/>
          <w:color w:val="auto"/>
        </w:rPr>
      </w:pPr>
      <w:r>
        <w:rPr>
          <w:rFonts w:ascii="Arial" w:cs="Arial" w:eastAsia="Arial" w:hAnsi="Arial"/>
          <w:sz w:val="18"/>
          <w:szCs w:val="18"/>
          <w:color w:val="auto"/>
        </w:rPr>
        <w:t>(Principal Financial Officer and Principal Accounting</w:t>
      </w:r>
    </w:p>
    <w:p>
      <w:pPr>
        <w:ind w:left="6820"/>
        <w:spacing w:after="0"/>
        <w:rPr>
          <w:sz w:val="20"/>
          <w:szCs w:val="20"/>
          <w:color w:val="auto"/>
        </w:rPr>
      </w:pPr>
      <w:r>
        <w:rPr>
          <w:rFonts w:ascii="Arial" w:cs="Arial" w:eastAsia="Arial" w:hAnsi="Arial"/>
          <w:sz w:val="18"/>
          <w:szCs w:val="18"/>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601980</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Chief Executive Officer and Chief Financial Officer of Unifi, Inc. (the “Company”), do hereby certify that:</w:t>
      </w:r>
    </w:p>
    <w:p>
      <w:pPr>
        <w:spacing w:after="0" w:line="46" w:lineRule="exact"/>
        <w:rPr>
          <w:sz w:val="20"/>
          <w:szCs w:val="20"/>
          <w:color w:val="auto"/>
        </w:rPr>
      </w:pPr>
    </w:p>
    <w:p>
      <w:pPr>
        <w:jc w:val="both"/>
        <w:ind w:left="1020" w:hanging="503"/>
        <w:spacing w:after="0" w:line="253"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period ended March 29, 2026, as filed with the Securities and Exchange Commission on the date hereof (the “Report”) fully complies with the requirements of Section 13(a) or 15(d) of the Securities Exchange Act of 1934, as amended; and</w:t>
      </w:r>
    </w:p>
    <w:p>
      <w:pPr>
        <w:spacing w:after="0" w:line="60" w:lineRule="exact"/>
        <w:rPr>
          <w:rFonts w:ascii="Arial" w:cs="Arial" w:eastAsia="Arial" w:hAnsi="Arial"/>
          <w:sz w:val="18"/>
          <w:szCs w:val="18"/>
          <w:color w:val="auto"/>
        </w:rPr>
      </w:pPr>
    </w:p>
    <w:p>
      <w:pPr>
        <w:ind w:left="1020" w:hanging="503"/>
        <w:spacing w:after="0" w:line="271"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0" w:lineRule="exact"/>
        <w:rPr>
          <w:sz w:val="20"/>
          <w:szCs w:val="20"/>
          <w:color w:val="auto"/>
        </w:rPr>
      </w:pPr>
    </w:p>
    <w:p>
      <w:pPr>
        <w:spacing w:after="0"/>
        <w:tabs>
          <w:tab w:leader="none" w:pos="6780" w:val="left"/>
        </w:tabs>
        <w:rPr>
          <w:sz w:val="20"/>
          <w:szCs w:val="20"/>
          <w:color w:val="auto"/>
        </w:rPr>
      </w:pPr>
      <w:r>
        <w:rPr>
          <w:rFonts w:ascii="Arial" w:cs="Arial" w:eastAsia="Arial" w:hAnsi="Arial"/>
          <w:sz w:val="18"/>
          <w:szCs w:val="18"/>
          <w:color w:val="auto"/>
        </w:rPr>
        <w:t>Date:  May 6, 2026</w:t>
      </w:r>
      <w:r>
        <w:rPr>
          <w:sz w:val="20"/>
          <w:szCs w:val="20"/>
          <w:color w:val="auto"/>
        </w:rPr>
        <w:tab/>
      </w:r>
      <w:r>
        <w:rPr>
          <w:rFonts w:ascii="Arial" w:cs="Arial" w:eastAsia="Arial" w:hAnsi="Arial"/>
          <w:sz w:val="17"/>
          <w:szCs w:val="17"/>
          <w:color w:val="auto"/>
        </w:rPr>
        <w:t>/s/ EDMUND M. INGLE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8890</wp:posOffset>
            </wp:positionV>
            <wp:extent cx="282003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6">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Edmund M. Ingle</w:t>
      </w:r>
    </w:p>
    <w:p>
      <w:pPr>
        <w:ind w:left="680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ANDREW J. EAKER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8890</wp:posOffset>
            </wp:positionV>
            <wp:extent cx="282892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7">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Andrew J. Eaker</w:t>
      </w:r>
    </w:p>
    <w:p>
      <w:pPr>
        <w:ind w:left="6780"/>
        <w:spacing w:after="0" w:line="234" w:lineRule="auto"/>
        <w:rPr>
          <w:sz w:val="20"/>
          <w:szCs w:val="20"/>
          <w:color w:val="auto"/>
        </w:rPr>
      </w:pPr>
      <w:r>
        <w:rPr>
          <w:rFonts w:ascii="Arial" w:cs="Arial" w:eastAsia="Arial" w:hAnsi="Arial"/>
          <w:sz w:val="18"/>
          <w:szCs w:val="18"/>
          <w:color w:val="auto"/>
        </w:rPr>
        <w:t>Executive Vice President &amp; Chief Financial Officer</w:t>
      </w:r>
    </w:p>
    <w:p>
      <w:pPr>
        <w:ind w:left="6780"/>
        <w:spacing w:after="0" w:line="235" w:lineRule="auto"/>
        <w:rPr>
          <w:sz w:val="20"/>
          <w:szCs w:val="20"/>
          <w:color w:val="auto"/>
        </w:rPr>
      </w:pPr>
      <w:r>
        <w:rPr>
          <w:rFonts w:ascii="Arial" w:cs="Arial" w:eastAsia="Arial" w:hAnsi="Arial"/>
          <w:sz w:val="18"/>
          <w:szCs w:val="18"/>
          <w:color w:val="auto"/>
        </w:rPr>
        <w:t>Treasurer</w:t>
      </w:r>
    </w:p>
    <w:p>
      <w:pPr>
        <w:ind w:left="6780"/>
        <w:spacing w:after="0" w:line="235" w:lineRule="auto"/>
        <w:rPr>
          <w:sz w:val="20"/>
          <w:szCs w:val="20"/>
          <w:color w:val="auto"/>
        </w:rPr>
      </w:pPr>
      <w:r>
        <w:rPr>
          <w:rFonts w:ascii="Arial" w:cs="Arial" w:eastAsia="Arial" w:hAnsi="Arial"/>
          <w:sz w:val="18"/>
          <w:szCs w:val="18"/>
          <w:color w:val="auto"/>
        </w:rPr>
        <w:t>(Principal Financial Officer and Principal Accounting</w:t>
      </w:r>
    </w:p>
    <w:p>
      <w:pPr>
        <w:ind w:left="6780"/>
        <w:spacing w:after="0"/>
        <w:rPr>
          <w:sz w:val="20"/>
          <w:szCs w:val="20"/>
          <w:color w:val="auto"/>
        </w:rPr>
      </w:pPr>
      <w:r>
        <w:rPr>
          <w:rFonts w:ascii="Arial" w:cs="Arial" w:eastAsia="Arial" w:hAnsi="Arial"/>
          <w:sz w:val="18"/>
          <w:szCs w:val="18"/>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601980</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8" w:name="page39"/>
    <w:bookmarkEnd w:id="3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1)"/>
      <w:numFmt w:val="lowerRoman"/>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1)"/>
      <w:numFmt w:val="decimal"/>
      <w:start w:val="1"/>
    </w:lvl>
    <w:lvl w:ilvl="1">
      <w:lvlJc w:val="left"/>
      <w:lvlText w:val="(%2)"/>
      <w:numFmt w:val="lowerRoman"/>
      <w:start w:val="1"/>
    </w:lvl>
  </w:abstractNum>
  <w:abstractNum w:abstractNumId="9">
    <w:nsid w:val="41A7C4C9"/>
    <w:multiLevelType w:val="hybridMultilevel"/>
    <w:lvl w:ilvl="0">
      <w:lvlJc w:val="left"/>
      <w:lvlText w:val="(%1)"/>
      <w:numFmt w:val="decimal"/>
      <w:start w:val="1"/>
    </w:lvl>
    <w:lvl w:ilvl="1">
      <w:lvlJc w:val="left"/>
      <w:lvlText w:val="(%2)"/>
      <w:numFmt w:val="lowerRoman"/>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1)"/>
      <w:numFmt w:val="lowerRoman"/>
      <w:start w:val="2"/>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1)"/>
      <w:numFmt w:val="decimal"/>
      <w:start w:val="1"/>
    </w:lvl>
    <w:lvl w:ilvl="1">
      <w:lvlJc w:val="left"/>
      <w:lvlText w:val="(%2)"/>
      <w:numFmt w:val="lowerRoman"/>
      <w:start w:val="1"/>
    </w:lvl>
  </w:abstractNum>
  <w:abstractNum w:abstractNumId="14">
    <w:nsid w:val="431BD7B7"/>
    <w:multiLevelType w:val="hybridMultilevel"/>
    <w:lvl w:ilvl="0">
      <w:lvlJc w:val="left"/>
      <w:lvlText w:val="(%1)"/>
      <w:numFmt w:val="decimal"/>
      <w:start w:val="1"/>
    </w:lvl>
    <w:lvl w:ilvl="1">
      <w:lvlJc w:val="left"/>
      <w:lvlText w:val="(%2)"/>
      <w:numFmt w:val="lowerRoman"/>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
      <w:numFmt w:val="bullet"/>
      <w:start w:val="1"/>
    </w:lvl>
    <w:lvl w:ilvl="1">
      <w:lvlJc w:val="left"/>
      <w:lvlText w:val="%2"/>
      <w:numFmt w:val="decimal"/>
      <w:start w:val="104"/>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9" Type="http://schemas.openxmlformats.org/officeDocument/2006/relationships/image" Target="media/image409.png"/><Relationship Id="rId420" Type="http://schemas.openxmlformats.org/officeDocument/2006/relationships/image" Target="media/image410.png"/><Relationship Id="rId421" Type="http://schemas.openxmlformats.org/officeDocument/2006/relationships/image" Target="media/image411.png"/><Relationship Id="rId422" Type="http://schemas.openxmlformats.org/officeDocument/2006/relationships/image" Target="media/image412.png"/><Relationship Id="rId423" Type="http://schemas.openxmlformats.org/officeDocument/2006/relationships/image" Target="media/image413.png"/><Relationship Id="rId424" Type="http://schemas.openxmlformats.org/officeDocument/2006/relationships/image" Target="media/image414.png"/><Relationship Id="rId425" Type="http://schemas.openxmlformats.org/officeDocument/2006/relationships/image" Target="media/image415.png"/><Relationship Id="rId426" Type="http://schemas.openxmlformats.org/officeDocument/2006/relationships/image" Target="media/image416.png"/><Relationship Id="rId427" Type="http://schemas.openxmlformats.org/officeDocument/2006/relationships/image" Target="media/image417.png"/><Relationship Id="rId428" Type="http://schemas.openxmlformats.org/officeDocument/2006/relationships/image" Target="media/image418.png"/><Relationship Id="rId416" Type="http://schemas.openxmlformats.org/officeDocument/2006/relationships/hyperlink" Target="https://www.sec.gov/Archives/edgar/data/100726/000119312516753700/d275241dex31.htm" TargetMode="External"/><Relationship Id="rId417" Type="http://schemas.openxmlformats.org/officeDocument/2006/relationships/hyperlink" Target="https://www.sec.gov/Archives/edgar/data/100726/000119312516753700/d275241dex32.htm" TargetMode="External"/><Relationship Id="rId418" Type="http://schemas.openxmlformats.org/officeDocument/2006/relationships/hyperlink" Target="https://www.sec.gov/Archives/edgar/data/100726/000156459019014846/ufi-ex31_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2026-05-06T09:19:44Z</dcterms:created>
  <dcterms:modified xsi:type="dcterms:W3CDTF">2026-05-06T09:19:44Z</dcterms:modified>
</cp:coreProperties>
</file>